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41E1" w:rsidRPr="00271989" w:rsidRDefault="003D16B3" w:rsidP="007F41E1">
      <w:pPr>
        <w:ind w:left="567" w:right="567"/>
        <w:jc w:val="right"/>
      </w:pPr>
      <w:r>
        <w:t>2.</w:t>
      </w:r>
      <w:r w:rsidR="007F41E1" w:rsidRPr="00271989">
        <w:t xml:space="preserve"> sz. napirendi pont</w:t>
      </w:r>
    </w:p>
    <w:p w:rsidR="007348FD" w:rsidRPr="00271989" w:rsidRDefault="007348FD">
      <w:pPr>
        <w:ind w:left="567" w:right="567"/>
      </w:pPr>
    </w:p>
    <w:p w:rsidR="00590F28" w:rsidRPr="00271989" w:rsidRDefault="00590F28" w:rsidP="00590F28">
      <w:pPr>
        <w:pStyle w:val="lfej"/>
        <w:jc w:val="center"/>
        <w:rPr>
          <w:noProof/>
        </w:rPr>
      </w:pPr>
    </w:p>
    <w:p w:rsidR="00590F28" w:rsidRPr="00271989" w:rsidRDefault="00590F28" w:rsidP="00590F28">
      <w:pPr>
        <w:pStyle w:val="lfej"/>
        <w:jc w:val="center"/>
        <w:rPr>
          <w:noProof/>
        </w:rPr>
      </w:pPr>
    </w:p>
    <w:p w:rsidR="00590F28" w:rsidRPr="00271989" w:rsidRDefault="00EB7E6B" w:rsidP="00590F28">
      <w:pPr>
        <w:pStyle w:val="lfej"/>
        <w:jc w:val="center"/>
      </w:pPr>
      <w:r w:rsidRPr="00271989">
        <w:rPr>
          <w:noProof/>
        </w:rPr>
        <w:drawing>
          <wp:inline distT="0" distB="0" distL="0" distR="0">
            <wp:extent cx="466725" cy="561975"/>
            <wp:effectExtent l="19050" t="0" r="9525" b="0"/>
            <wp:docPr id="1" name="Kép 1" descr="ZM_cimer_szines_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ZM_cimer_szines_100.jpg"/>
                    <pic:cNvPicPr>
                      <a:picLocks noChangeAspect="1" noChangeArrowheads="1"/>
                    </pic:cNvPicPr>
                  </pic:nvPicPr>
                  <pic:blipFill>
                    <a:blip r:embed="rId8" cstate="print"/>
                    <a:srcRect/>
                    <a:stretch>
                      <a:fillRect/>
                    </a:stretch>
                  </pic:blipFill>
                  <pic:spPr bwMode="auto">
                    <a:xfrm>
                      <a:off x="0" y="0"/>
                      <a:ext cx="466725" cy="561975"/>
                    </a:xfrm>
                    <a:prstGeom prst="rect">
                      <a:avLst/>
                    </a:prstGeom>
                    <a:noFill/>
                    <a:ln w="9525">
                      <a:noFill/>
                      <a:miter lim="800000"/>
                      <a:headEnd/>
                      <a:tailEnd/>
                    </a:ln>
                  </pic:spPr>
                </pic:pic>
              </a:graphicData>
            </a:graphic>
          </wp:inline>
        </w:drawing>
      </w:r>
    </w:p>
    <w:p w:rsidR="00590F28" w:rsidRPr="00271989" w:rsidRDefault="00590F28" w:rsidP="00590F28">
      <w:pPr>
        <w:pStyle w:val="lfej"/>
        <w:jc w:val="center"/>
      </w:pPr>
    </w:p>
    <w:p w:rsidR="00590F28" w:rsidRPr="00271989" w:rsidRDefault="00590F28" w:rsidP="00590F28">
      <w:pPr>
        <w:pStyle w:val="lfej"/>
        <w:jc w:val="center"/>
      </w:pPr>
      <w:r w:rsidRPr="00271989">
        <w:rPr>
          <w:b/>
        </w:rPr>
        <w:t>ZALA MEGYEI ÖNKORMÁNYZAT</w:t>
      </w:r>
    </w:p>
    <w:p w:rsidR="007348FD" w:rsidRPr="00271989" w:rsidRDefault="007348FD">
      <w:pPr>
        <w:ind w:left="567" w:right="567"/>
        <w:jc w:val="center"/>
      </w:pPr>
    </w:p>
    <w:p w:rsidR="007348FD" w:rsidRPr="00271989" w:rsidRDefault="007348FD">
      <w:pPr>
        <w:ind w:left="567" w:right="567"/>
      </w:pPr>
    </w:p>
    <w:p w:rsidR="007348FD" w:rsidRPr="00271989" w:rsidRDefault="007348FD">
      <w:pPr>
        <w:ind w:left="567" w:right="567"/>
      </w:pPr>
    </w:p>
    <w:p w:rsidR="007348FD" w:rsidRPr="00271989" w:rsidRDefault="007348FD">
      <w:pPr>
        <w:ind w:left="567" w:right="567"/>
      </w:pPr>
    </w:p>
    <w:p w:rsidR="007348FD" w:rsidRPr="00271989" w:rsidRDefault="007348FD">
      <w:pPr>
        <w:ind w:left="567" w:right="567"/>
      </w:pPr>
    </w:p>
    <w:p w:rsidR="007348FD" w:rsidRPr="00271989" w:rsidRDefault="007348FD">
      <w:pPr>
        <w:ind w:left="567" w:right="567"/>
      </w:pPr>
    </w:p>
    <w:p w:rsidR="007348FD" w:rsidRDefault="008A3F7C" w:rsidP="008A3F7C">
      <w:pPr>
        <w:ind w:left="567" w:right="567"/>
        <w:jc w:val="center"/>
      </w:pPr>
      <w:r w:rsidRPr="008A3F7C">
        <w:rPr>
          <w:rFonts w:ascii="Calibri" w:eastAsia="Calibri" w:hAnsi="Calibri"/>
          <w:noProof/>
          <w:sz w:val="22"/>
          <w:szCs w:val="22"/>
        </w:rPr>
        <w:drawing>
          <wp:inline distT="0" distB="0" distL="0" distR="0" wp14:anchorId="4C4C5592" wp14:editId="277B9237">
            <wp:extent cx="1733550" cy="304800"/>
            <wp:effectExtent l="0" t="0" r="0" b="0"/>
            <wp:docPr id="2" name="Kép 2" descr="fejle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fejlec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3550" cy="304800"/>
                    </a:xfrm>
                    <a:prstGeom prst="rect">
                      <a:avLst/>
                    </a:prstGeom>
                    <a:noFill/>
                    <a:ln>
                      <a:noFill/>
                    </a:ln>
                  </pic:spPr>
                </pic:pic>
              </a:graphicData>
            </a:graphic>
          </wp:inline>
        </w:drawing>
      </w:r>
    </w:p>
    <w:p w:rsidR="00AA37FB" w:rsidRPr="00271989" w:rsidRDefault="00AA37FB" w:rsidP="008A3F7C">
      <w:pPr>
        <w:ind w:left="567" w:right="567"/>
        <w:jc w:val="center"/>
      </w:pPr>
      <w:bookmarkStart w:id="0" w:name="_GoBack"/>
      <w:bookmarkEnd w:id="0"/>
    </w:p>
    <w:p w:rsidR="007914B6" w:rsidRPr="00BA1C74" w:rsidRDefault="007914B6" w:rsidP="007914B6">
      <w:pPr>
        <w:ind w:left="567" w:right="567"/>
        <w:jc w:val="center"/>
      </w:pPr>
      <w:r w:rsidRPr="00BA1C74">
        <w:t xml:space="preserve">a Zala Megyei Közgyűlés munkaterv szerint 2021. március 18-ra tervezett ülésére, mely a veszélyhelyzet kihirdetéséről szóló </w:t>
      </w:r>
      <w:r w:rsidR="009017B0" w:rsidRPr="00BA1C74">
        <w:t>27</w:t>
      </w:r>
      <w:r w:rsidRPr="00BA1C74">
        <w:t>/202</w:t>
      </w:r>
      <w:r w:rsidR="009017B0" w:rsidRPr="00BA1C74">
        <w:t>1. (I.29</w:t>
      </w:r>
      <w:r w:rsidRPr="00BA1C74">
        <w:t>.) Korm. rendelet következtében nem kerül megtartásra</w:t>
      </w:r>
    </w:p>
    <w:p w:rsidR="007348FD" w:rsidRPr="00271989" w:rsidRDefault="007348FD">
      <w:pPr>
        <w:ind w:left="567" w:right="567"/>
        <w:jc w:val="center"/>
      </w:pPr>
    </w:p>
    <w:p w:rsidR="007348FD" w:rsidRPr="00271989" w:rsidRDefault="007348FD">
      <w:pPr>
        <w:ind w:left="567" w:right="567"/>
        <w:jc w:val="center"/>
      </w:pPr>
    </w:p>
    <w:p w:rsidR="007348FD" w:rsidRPr="00271989" w:rsidRDefault="007348FD">
      <w:pPr>
        <w:ind w:left="567" w:right="567"/>
        <w:jc w:val="center"/>
      </w:pPr>
    </w:p>
    <w:p w:rsidR="007348FD" w:rsidRPr="00271989" w:rsidRDefault="007348FD">
      <w:pPr>
        <w:ind w:left="567" w:right="567"/>
        <w:jc w:val="center"/>
      </w:pPr>
    </w:p>
    <w:p w:rsidR="007348FD" w:rsidRPr="00271989" w:rsidRDefault="007348FD">
      <w:pPr>
        <w:ind w:left="851" w:right="850"/>
        <w:jc w:val="center"/>
      </w:pPr>
    </w:p>
    <w:p w:rsidR="007348FD" w:rsidRPr="00271989" w:rsidRDefault="007348FD">
      <w:pPr>
        <w:ind w:left="851" w:right="850"/>
        <w:jc w:val="center"/>
      </w:pPr>
    </w:p>
    <w:p w:rsidR="007348FD" w:rsidRPr="00271989" w:rsidRDefault="007348FD">
      <w:pPr>
        <w:ind w:left="1560" w:right="567" w:hanging="851"/>
        <w:jc w:val="both"/>
      </w:pPr>
      <w:r w:rsidRPr="00271989">
        <w:rPr>
          <w:b/>
        </w:rPr>
        <w:t xml:space="preserve">Tárgy: </w:t>
      </w:r>
      <w:r w:rsidRPr="00271989">
        <w:rPr>
          <w:b/>
        </w:rPr>
        <w:tab/>
      </w:r>
      <w:r w:rsidR="004301D3" w:rsidRPr="00271989">
        <w:t>Tájékoztató Zala megye foglalkoztatási helyzetéről.</w:t>
      </w:r>
    </w:p>
    <w:p w:rsidR="007348FD" w:rsidRPr="00271989" w:rsidRDefault="007348FD">
      <w:pPr>
        <w:ind w:left="851" w:right="850"/>
        <w:jc w:val="center"/>
      </w:pPr>
    </w:p>
    <w:p w:rsidR="007348FD" w:rsidRPr="00271989" w:rsidRDefault="007348FD">
      <w:pPr>
        <w:ind w:left="851" w:right="850"/>
        <w:jc w:val="center"/>
      </w:pPr>
    </w:p>
    <w:p w:rsidR="007348FD" w:rsidRPr="00271989" w:rsidRDefault="007348FD">
      <w:pPr>
        <w:ind w:left="851" w:right="850"/>
        <w:jc w:val="center"/>
      </w:pPr>
    </w:p>
    <w:p w:rsidR="007348FD" w:rsidRPr="00271989" w:rsidRDefault="007348FD">
      <w:pPr>
        <w:ind w:left="851" w:right="850"/>
        <w:jc w:val="center"/>
      </w:pPr>
    </w:p>
    <w:p w:rsidR="007348FD" w:rsidRPr="00271989" w:rsidRDefault="007348FD">
      <w:pPr>
        <w:tabs>
          <w:tab w:val="left" w:pos="3544"/>
        </w:tabs>
        <w:spacing w:line="480" w:lineRule="auto"/>
        <w:ind w:left="709" w:right="567"/>
      </w:pPr>
      <w:r w:rsidRPr="00271989">
        <w:rPr>
          <w:b/>
        </w:rPr>
        <w:t>Az előterjesztést készítette:</w:t>
      </w:r>
      <w:r w:rsidRPr="00271989">
        <w:tab/>
      </w:r>
      <w:r w:rsidR="00BF3DE9" w:rsidRPr="00271989">
        <w:t>Dávidné Gergál Rozália</w:t>
      </w:r>
      <w:r w:rsidR="00976BD4" w:rsidRPr="00271989">
        <w:t xml:space="preserve"> főosztályvezető</w:t>
      </w:r>
    </w:p>
    <w:p w:rsidR="00BA1C74" w:rsidRDefault="00BA1C74">
      <w:pPr>
        <w:tabs>
          <w:tab w:val="left" w:pos="3544"/>
        </w:tabs>
        <w:spacing w:line="480" w:lineRule="auto"/>
        <w:ind w:left="709" w:right="567"/>
        <w:rPr>
          <w:b/>
        </w:rPr>
      </w:pPr>
    </w:p>
    <w:p w:rsidR="007348FD" w:rsidRPr="00271989" w:rsidRDefault="007348FD">
      <w:pPr>
        <w:tabs>
          <w:tab w:val="left" w:pos="3544"/>
        </w:tabs>
        <w:spacing w:line="480" w:lineRule="auto"/>
        <w:ind w:left="709" w:right="567"/>
        <w:rPr>
          <w:b/>
        </w:rPr>
      </w:pPr>
      <w:r w:rsidRPr="00271989">
        <w:rPr>
          <w:b/>
        </w:rPr>
        <w:t>Előterjesztő:</w:t>
      </w:r>
      <w:r w:rsidRPr="00271989">
        <w:rPr>
          <w:b/>
        </w:rPr>
        <w:tab/>
      </w:r>
    </w:p>
    <w:p w:rsidR="007348FD" w:rsidRPr="00271989" w:rsidRDefault="007348FD">
      <w:pPr>
        <w:ind w:left="851" w:right="850"/>
        <w:jc w:val="center"/>
      </w:pPr>
    </w:p>
    <w:p w:rsidR="007348FD" w:rsidRPr="00271989" w:rsidRDefault="007348FD">
      <w:pPr>
        <w:ind w:left="567" w:right="567"/>
        <w:jc w:val="center"/>
      </w:pPr>
    </w:p>
    <w:p w:rsidR="007348FD" w:rsidRPr="00271989" w:rsidRDefault="007348FD">
      <w:pPr>
        <w:ind w:left="567" w:right="567"/>
        <w:jc w:val="center"/>
      </w:pPr>
    </w:p>
    <w:p w:rsidR="007348FD" w:rsidRPr="00271989" w:rsidRDefault="007348FD">
      <w:pPr>
        <w:ind w:left="567" w:right="567"/>
        <w:jc w:val="center"/>
      </w:pPr>
    </w:p>
    <w:p w:rsidR="007348FD" w:rsidRPr="00271989" w:rsidRDefault="007348FD">
      <w:pPr>
        <w:ind w:left="567" w:right="567"/>
        <w:jc w:val="center"/>
      </w:pPr>
    </w:p>
    <w:p w:rsidR="007348FD" w:rsidRPr="00271989" w:rsidRDefault="007348FD">
      <w:pPr>
        <w:ind w:left="567" w:right="567"/>
        <w:jc w:val="center"/>
      </w:pPr>
    </w:p>
    <w:p w:rsidR="007348FD" w:rsidRPr="00271989" w:rsidRDefault="00BA1C74">
      <w:pPr>
        <w:tabs>
          <w:tab w:val="center" w:pos="6804"/>
        </w:tabs>
        <w:ind w:left="567" w:right="567"/>
      </w:pPr>
      <w:r>
        <w:t xml:space="preserve">                                                                     </w:t>
      </w:r>
      <w:r w:rsidR="00D11FE2" w:rsidRPr="00271989">
        <w:t>Dávidné Gergál Rozália</w:t>
      </w:r>
      <w:r w:rsidR="007F4816">
        <w:t xml:space="preserve"> s.k.</w:t>
      </w:r>
    </w:p>
    <w:p w:rsidR="00EB7E6B" w:rsidRPr="00271989" w:rsidRDefault="00BA1C74" w:rsidP="00EB7E6B">
      <w:pPr>
        <w:tabs>
          <w:tab w:val="center" w:pos="6804"/>
        </w:tabs>
        <w:ind w:left="567" w:right="567"/>
      </w:pPr>
      <w:r>
        <w:t xml:space="preserve">                                                                            </w:t>
      </w:r>
      <w:r w:rsidR="00D11FE2" w:rsidRPr="00271989">
        <w:t>főosztályvezető</w:t>
      </w:r>
    </w:p>
    <w:p w:rsidR="00EB7E6B" w:rsidRPr="00271989" w:rsidRDefault="00BA1C74" w:rsidP="00EB7E6B">
      <w:pPr>
        <w:tabs>
          <w:tab w:val="center" w:pos="6804"/>
        </w:tabs>
        <w:ind w:left="567" w:right="567"/>
      </w:pPr>
      <w:r>
        <w:t xml:space="preserve">                                                                Zala M</w:t>
      </w:r>
      <w:r w:rsidR="00EB7E6B" w:rsidRPr="00271989">
        <w:t>egyei Kormányhivatal</w:t>
      </w:r>
    </w:p>
    <w:p w:rsidR="00EB7E6B" w:rsidRPr="00271989" w:rsidRDefault="00BA1C74" w:rsidP="00EB7E6B">
      <w:pPr>
        <w:tabs>
          <w:tab w:val="center" w:pos="6804"/>
        </w:tabs>
        <w:ind w:left="567" w:right="567"/>
        <w:jc w:val="right"/>
      </w:pPr>
      <w:r>
        <w:t xml:space="preserve">   </w:t>
      </w:r>
      <w:r w:rsidR="00EB7E6B" w:rsidRPr="00271989">
        <w:t>Foglalkoztatási, Munkaügyi és Munkavédelmi Főosztály</w:t>
      </w:r>
    </w:p>
    <w:p w:rsidR="00C5273C" w:rsidRPr="00271989" w:rsidRDefault="00C5273C">
      <w:pPr>
        <w:tabs>
          <w:tab w:val="center" w:pos="6804"/>
        </w:tabs>
        <w:ind w:left="567" w:right="567"/>
      </w:pPr>
    </w:p>
    <w:p w:rsidR="00C5273C" w:rsidRPr="00271989" w:rsidRDefault="00C5273C">
      <w:pPr>
        <w:tabs>
          <w:tab w:val="center" w:pos="6804"/>
        </w:tabs>
        <w:ind w:left="567" w:right="567"/>
      </w:pPr>
    </w:p>
    <w:p w:rsidR="006E0AD4" w:rsidRPr="00271989" w:rsidRDefault="006E0AD4" w:rsidP="00271989">
      <w:pPr>
        <w:tabs>
          <w:tab w:val="right" w:pos="9072"/>
        </w:tabs>
        <w:spacing w:before="360" w:after="240"/>
        <w:jc w:val="both"/>
        <w:rPr>
          <w:b/>
          <w:lang w:eastAsia="en-US"/>
        </w:rPr>
      </w:pPr>
      <w:r w:rsidRPr="00271989">
        <w:rPr>
          <w:b/>
          <w:lang w:eastAsia="en-US"/>
        </w:rPr>
        <w:lastRenderedPageBreak/>
        <w:t>Tisztelt Közgyűlés!</w:t>
      </w:r>
    </w:p>
    <w:p w:rsidR="006E0AD4" w:rsidRPr="00271989" w:rsidRDefault="006E0AD4" w:rsidP="006E0AD4">
      <w:pPr>
        <w:spacing w:after="120"/>
        <w:jc w:val="both"/>
        <w:rPr>
          <w:b/>
          <w:lang w:eastAsia="en-US"/>
        </w:rPr>
      </w:pPr>
    </w:p>
    <w:p w:rsidR="00813C0E" w:rsidRPr="00271989" w:rsidRDefault="00813C0E" w:rsidP="00271989">
      <w:pPr>
        <w:spacing w:before="240" w:after="120"/>
        <w:jc w:val="both"/>
        <w:rPr>
          <w:b/>
          <w:u w:val="single"/>
        </w:rPr>
      </w:pPr>
      <w:r w:rsidRPr="00271989">
        <w:rPr>
          <w:b/>
          <w:u w:val="single"/>
        </w:rPr>
        <w:t>Gazdasági környezet</w:t>
      </w:r>
    </w:p>
    <w:p w:rsidR="00813C0E" w:rsidRPr="00271989" w:rsidRDefault="00813C0E" w:rsidP="00813C0E">
      <w:pPr>
        <w:spacing w:after="120"/>
        <w:jc w:val="both"/>
      </w:pPr>
      <w:r w:rsidRPr="00271989">
        <w:t xml:space="preserve">A megye </w:t>
      </w:r>
      <w:r w:rsidRPr="00271989">
        <w:rPr>
          <w:b/>
        </w:rPr>
        <w:t>lakónépessége -</w:t>
      </w:r>
      <w:r w:rsidRPr="00271989">
        <w:t xml:space="preserve"> az országoshoz hasonlóan - hosszú évek óta folyamatosan csökken, 2020. január 1-jén 267 ezer fő volt. A lakosság </w:t>
      </w:r>
      <w:r w:rsidRPr="00271989">
        <w:rPr>
          <w:b/>
        </w:rPr>
        <w:t>korösszetéte</w:t>
      </w:r>
      <w:r w:rsidRPr="00271989">
        <w:t>le a megyében kissé eltér az országostól, Zalában mintegy 2%-ponttal magasabb az idősek aránya.</w:t>
      </w:r>
    </w:p>
    <w:p w:rsidR="00813C0E" w:rsidRPr="00271989" w:rsidRDefault="00813C0E" w:rsidP="00813C0E">
      <w:pPr>
        <w:spacing w:after="120"/>
        <w:jc w:val="both"/>
      </w:pPr>
      <w:r w:rsidRPr="00271989">
        <w:t xml:space="preserve">A KSH nyilvántartása szerint Zala megyei székhellyel 2020. szeptember végén 58 ezer </w:t>
      </w:r>
      <w:r w:rsidRPr="00271989">
        <w:rPr>
          <w:b/>
        </w:rPr>
        <w:t>gazdasági szervezet</w:t>
      </w:r>
      <w:r w:rsidRPr="00271989">
        <w:t xml:space="preserve"> volt, 1%-kal több mint egy évvel korábban. Az 54 ezer vállalkozás 18%-a társas gazdálkodási formában, 82%-a önálló vállalkozóként tevékenykedett. Főtevékenységük alapján a társas vállalkozások a kereskedelemben (21%), a tudományos és műszaki tevékenységben (15%), valamint az iparban (11%) és az építőiparban (10%), az önálló vállalkozók a mezőgazdaság (39%), az ingatlanügyletek (11%) és a vendéglátás (10%) nemzetgazdasági ágakban fordultak elő leggyakrabban. A társas vállalkozások 91%-a legfeljebb 9 főt foglalkoztatott, a 249 fő felettiekből 18 volt a megyében. A 43 ezer önálló vállalkozó 34%-a főfoglalkozás keretében tevékenykedett.</w:t>
      </w:r>
    </w:p>
    <w:p w:rsidR="00813C0E" w:rsidRPr="00271989" w:rsidRDefault="00813C0E" w:rsidP="00813C0E">
      <w:pPr>
        <w:spacing w:after="120"/>
        <w:jc w:val="both"/>
      </w:pPr>
      <w:r w:rsidRPr="00271989">
        <w:t xml:space="preserve">2020. I-III. negyedévében Zala megyében a teljes munkaidőben alkalmazásban állók havi bruttó </w:t>
      </w:r>
      <w:r w:rsidRPr="00271989">
        <w:rPr>
          <w:b/>
        </w:rPr>
        <w:t>átlagkereset</w:t>
      </w:r>
      <w:r w:rsidRPr="00271989">
        <w:t>e 315 ezer, az adókedvezmény nélkül számított havi nettó átlagkeresete 209 ezer forint volt. A bruttó és nettó átlagkereset egyaránt 11,0%-kal múlta felül a 2019.</w:t>
      </w:r>
      <w:r w:rsidR="00A32ED4" w:rsidRPr="00271989">
        <w:br/>
      </w:r>
      <w:r w:rsidRPr="00271989">
        <w:t xml:space="preserve">I-III. negyedévit. A növekedés üteme meghaladta az országosat, de a keresetek 20%-kal alacsonyabbak voltak, mint az országos átlag. A keresetnövekedés a versenyszférában 9,5, a költségvetés területén 13,3%-ot tett ki. Az átlagkereset a fizikai foglalkozásúaknál 9,5, a szellemieknél 10,1%-kal emelkedett, a fizikai foglalkozásúak bruttó átlagkeresete 259 ezer, a szellemieké 393 ezer forintra bővült. </w:t>
      </w:r>
    </w:p>
    <w:p w:rsidR="00813C0E" w:rsidRPr="00271989" w:rsidRDefault="00813C0E" w:rsidP="00271989">
      <w:pPr>
        <w:spacing w:before="240" w:after="120"/>
        <w:jc w:val="both"/>
        <w:rPr>
          <w:b/>
          <w:u w:val="single"/>
        </w:rPr>
      </w:pPr>
      <w:r w:rsidRPr="00271989">
        <w:rPr>
          <w:b/>
          <w:u w:val="single"/>
        </w:rPr>
        <w:t>Munkaerőpiaci helyzetkép</w:t>
      </w:r>
    </w:p>
    <w:p w:rsidR="00813C0E" w:rsidRPr="00271989" w:rsidRDefault="00813C0E" w:rsidP="00813C0E">
      <w:pPr>
        <w:spacing w:after="120"/>
        <w:jc w:val="both"/>
      </w:pPr>
      <w:r w:rsidRPr="00271989">
        <w:t>Zala megye az átlagosnál jobb munkaerőpiaci mutatókkal r</w:t>
      </w:r>
      <w:r w:rsidR="003B7C4C" w:rsidRPr="00271989">
        <w:t xml:space="preserve">endelkező megyék közé tartozik. </w:t>
      </w:r>
      <w:r w:rsidRPr="00271989">
        <w:t xml:space="preserve">A </w:t>
      </w:r>
      <w:r w:rsidRPr="00271989">
        <w:rPr>
          <w:b/>
        </w:rPr>
        <w:t>foglalkoztatási helyzet</w:t>
      </w:r>
      <w:r w:rsidRPr="00271989">
        <w:t xml:space="preserve">re vonatkozóan elsősorban a </w:t>
      </w:r>
      <w:r w:rsidRPr="00271989">
        <w:rPr>
          <w:b/>
        </w:rPr>
        <w:t>KSH</w:t>
      </w:r>
      <w:r w:rsidRPr="00271989">
        <w:t xml:space="preserve"> lakossági megkérdezésen alapuló negyedévenkénti </w:t>
      </w:r>
      <w:r w:rsidRPr="00271989">
        <w:rPr>
          <w:b/>
        </w:rPr>
        <w:t>munkaerő-felmérés</w:t>
      </w:r>
      <w:r w:rsidRPr="00271989">
        <w:t xml:space="preserve">éből rendelkezünk adatokkal. Ez alapján Zala megyében, 2020. IV. negyedévében a 15-64 éves népességet tekintve a </w:t>
      </w:r>
      <w:r w:rsidRPr="00271989">
        <w:rPr>
          <w:b/>
        </w:rPr>
        <w:t>foglalkoztatottak</w:t>
      </w:r>
      <w:r w:rsidRPr="00271989">
        <w:t xml:space="preserve"> átlagos száma 122,5 ezer fő volt, ami a világjárvány miatt mintegy 2,4 ezer fővel alacsonyabb az egy évvel korábbinál. A foglalkoztatottak száma ezt megelőzően évről-évre emelkedett a megyében, 2019-ben közel 18 ezer fővel, 15%-kal volt magasabb a 2010. évinél. A </w:t>
      </w:r>
      <w:r w:rsidRPr="00271989">
        <w:rPr>
          <w:b/>
        </w:rPr>
        <w:t>foglalkoztatási</w:t>
      </w:r>
      <w:r w:rsidRPr="00271989">
        <w:t xml:space="preserve"> </w:t>
      </w:r>
      <w:r w:rsidRPr="00271989">
        <w:rPr>
          <w:b/>
        </w:rPr>
        <w:t>ráta</w:t>
      </w:r>
      <w:r w:rsidRPr="00271989">
        <w:t xml:space="preserve"> 2020. IV. negyedévi megyei értéke 72,4%-os, ami több mint 2%-ponttal meghaladja az országos átlagot (csupán a fővárosban és 5 megyében magasabb az értéke a zalainál). Az </w:t>
      </w:r>
      <w:r w:rsidRPr="00271989">
        <w:rPr>
          <w:b/>
        </w:rPr>
        <w:t xml:space="preserve">aktivitási ráta </w:t>
      </w:r>
      <w:r w:rsidRPr="00271989">
        <w:t>továbbra is</w:t>
      </w:r>
      <w:r w:rsidRPr="00271989">
        <w:rPr>
          <w:b/>
        </w:rPr>
        <w:t xml:space="preserve"> </w:t>
      </w:r>
      <w:r w:rsidRPr="00271989">
        <w:t xml:space="preserve">lényesen kedvezőbb az országosnál, és a KSH által 2020. IV. negyedévében mért 2,7%-os </w:t>
      </w:r>
      <w:r w:rsidRPr="00271989">
        <w:rPr>
          <w:b/>
        </w:rPr>
        <w:t>munkanélküliségi</w:t>
      </w:r>
      <w:r w:rsidRPr="00271989">
        <w:t xml:space="preserve"> ráta is 1,5%-ponttal alacsonyabb az országos értéknél. </w:t>
      </w:r>
    </w:p>
    <w:p w:rsidR="00813C0E" w:rsidRPr="00271989" w:rsidRDefault="00813C0E" w:rsidP="00813C0E">
      <w:pPr>
        <w:shd w:val="clear" w:color="auto" w:fill="FFFFFF"/>
        <w:tabs>
          <w:tab w:val="left" w:pos="1445"/>
        </w:tabs>
        <w:suppressAutoHyphens/>
        <w:spacing w:after="120"/>
        <w:jc w:val="both"/>
      </w:pPr>
      <w:r w:rsidRPr="00271989">
        <w:t xml:space="preserve">2020-ban a </w:t>
      </w:r>
      <w:r w:rsidRPr="00271989">
        <w:rPr>
          <w:b/>
        </w:rPr>
        <w:t>nyilvántartott</w:t>
      </w:r>
      <w:r w:rsidRPr="00271989">
        <w:t xml:space="preserve"> </w:t>
      </w:r>
      <w:r w:rsidRPr="00271989">
        <w:rPr>
          <w:b/>
        </w:rPr>
        <w:t>álláskeresők havi átlagos száma</w:t>
      </w:r>
      <w:r w:rsidRPr="00271989">
        <w:t xml:space="preserve"> 9,7 ezer fő volt. Számuk a megyében 2018 júniusában alakult a legkedvezőbben 6,4 ezer fővel, s ezt követően is rendkívül alacsony volt a munkanélküliség nagyságrendje a megyében egészen a világjárvány kialakulásáig. Megyén belül a leginkább érintett Keszthelyi járás területén - a szálláshely-szolgáltatás, vendéglátás, idegenforgalom jelentős súlyából adódóan – több mint 2-szer annyi volt az év végén a nyilvántartott álláskereső, mint egy évvel korábban.  </w:t>
      </w:r>
    </w:p>
    <w:p w:rsidR="00813C0E" w:rsidRPr="00271989" w:rsidRDefault="00813C0E" w:rsidP="00813C0E">
      <w:pPr>
        <w:shd w:val="clear" w:color="auto" w:fill="FFFFFF"/>
        <w:tabs>
          <w:tab w:val="left" w:pos="1445"/>
        </w:tabs>
        <w:suppressAutoHyphens/>
        <w:spacing w:after="120"/>
        <w:jc w:val="both"/>
      </w:pPr>
      <w:r w:rsidRPr="00271989">
        <w:t xml:space="preserve">A </w:t>
      </w:r>
      <w:r w:rsidRPr="00271989">
        <w:rPr>
          <w:b/>
        </w:rPr>
        <w:t>nyilvántartott álláskeresők aránya</w:t>
      </w:r>
      <w:r w:rsidRPr="00271989">
        <w:t xml:space="preserve"> 2020-ban átlagosan 7,4% volt a megyében. Az álláskeresők aránya a Lenti, Keszthelyi, Zalaszentgróti és Zalaegerszegi járásban alacsonyabb, a Nagykanizsai, Letenyei járásban magasabb volt a megyei átlagnál az éves </w:t>
      </w:r>
      <w:r w:rsidRPr="00271989">
        <w:lastRenderedPageBreak/>
        <w:t>átlagot tekintve. Év végén, hosszú idő után decemberben először, a Keszthelyi járásban is a megyei átlag fölé került a mutató értéke.</w:t>
      </w:r>
    </w:p>
    <w:p w:rsidR="006E0AD4" w:rsidRPr="00271989" w:rsidRDefault="006E0AD4" w:rsidP="00216B07">
      <w:pPr>
        <w:tabs>
          <w:tab w:val="center" w:pos="4536"/>
          <w:tab w:val="right" w:pos="9072"/>
        </w:tabs>
        <w:spacing w:after="120"/>
        <w:jc w:val="both"/>
        <w:rPr>
          <w:lang w:eastAsia="en-US"/>
        </w:rPr>
      </w:pPr>
      <w:r w:rsidRPr="00271989">
        <w:rPr>
          <w:b/>
          <w:lang w:eastAsia="en-US"/>
        </w:rPr>
        <w:t xml:space="preserve">2020. </w:t>
      </w:r>
      <w:r w:rsidR="004C04FE" w:rsidRPr="00271989">
        <w:rPr>
          <w:b/>
          <w:lang w:eastAsia="en-US"/>
        </w:rPr>
        <w:t>évben</w:t>
      </w:r>
      <w:r w:rsidRPr="00271989">
        <w:rPr>
          <w:b/>
          <w:lang w:eastAsia="en-US"/>
        </w:rPr>
        <w:t xml:space="preserve"> a nyilvántartott álláskeresők érintett létszáma </w:t>
      </w:r>
      <w:r w:rsidR="00CA5BB9" w:rsidRPr="00271989">
        <w:rPr>
          <w:b/>
          <w:lang w:eastAsia="en-US"/>
        </w:rPr>
        <w:t>23 937</w:t>
      </w:r>
      <w:r w:rsidRPr="00271989">
        <w:rPr>
          <w:b/>
          <w:lang w:eastAsia="en-US"/>
        </w:rPr>
        <w:t xml:space="preserve"> fő volt a megyében</w:t>
      </w:r>
      <w:r w:rsidRPr="00271989">
        <w:rPr>
          <w:lang w:eastAsia="en-US"/>
        </w:rPr>
        <w:t xml:space="preserve">, amely a vírushelyzetből adódóan a 2019. </w:t>
      </w:r>
      <w:r w:rsidR="00CA5BB9" w:rsidRPr="00271989">
        <w:rPr>
          <w:lang w:eastAsia="en-US"/>
        </w:rPr>
        <w:t>évinél</w:t>
      </w:r>
      <w:r w:rsidRPr="00271989">
        <w:rPr>
          <w:lang w:eastAsia="en-US"/>
        </w:rPr>
        <w:t xml:space="preserve"> közel </w:t>
      </w:r>
      <w:r w:rsidR="00CA5BB9" w:rsidRPr="00271989">
        <w:rPr>
          <w:lang w:eastAsia="en-US"/>
        </w:rPr>
        <w:t>3745</w:t>
      </w:r>
      <w:r w:rsidRPr="00271989">
        <w:rPr>
          <w:lang w:eastAsia="en-US"/>
        </w:rPr>
        <w:t xml:space="preserve"> fővel, </w:t>
      </w:r>
      <w:r w:rsidR="00CA5BB9" w:rsidRPr="00271989">
        <w:rPr>
          <w:lang w:eastAsia="en-US"/>
        </w:rPr>
        <w:t>19</w:t>
      </w:r>
      <w:r w:rsidRPr="00271989">
        <w:rPr>
          <w:lang w:eastAsia="en-US"/>
        </w:rPr>
        <w:t xml:space="preserve">%-kal több. Az álláskeresők érintett létszámából </w:t>
      </w:r>
      <w:r w:rsidR="00CA5BB9" w:rsidRPr="00271989">
        <w:rPr>
          <w:b/>
          <w:lang w:eastAsia="en-US"/>
        </w:rPr>
        <w:t>10 762</w:t>
      </w:r>
      <w:r w:rsidRPr="00271989">
        <w:rPr>
          <w:b/>
          <w:lang w:eastAsia="en-US"/>
        </w:rPr>
        <w:t xml:space="preserve"> fő vált foglalkoztatottá</w:t>
      </w:r>
      <w:r w:rsidRPr="00271989">
        <w:rPr>
          <w:lang w:eastAsia="en-US"/>
        </w:rPr>
        <w:t xml:space="preserve">, ebből támogatással </w:t>
      </w:r>
      <w:r w:rsidR="00CA5BB9" w:rsidRPr="00271989">
        <w:rPr>
          <w:lang w:eastAsia="en-US"/>
        </w:rPr>
        <w:t>5 071</w:t>
      </w:r>
      <w:r w:rsidRPr="00271989">
        <w:rPr>
          <w:lang w:eastAsia="en-US"/>
        </w:rPr>
        <w:t xml:space="preserve"> fő, támogatás nélkül </w:t>
      </w:r>
      <w:r w:rsidR="00CA5BB9" w:rsidRPr="00271989">
        <w:rPr>
          <w:lang w:eastAsia="en-US"/>
        </w:rPr>
        <w:t>5 691</w:t>
      </w:r>
      <w:r w:rsidRPr="00271989">
        <w:rPr>
          <w:lang w:eastAsia="en-US"/>
        </w:rPr>
        <w:t xml:space="preserve"> fő helyezkedett el. A nyilvántartott álláskeresők érintett létszámából </w:t>
      </w:r>
      <w:r w:rsidRPr="00271989">
        <w:rPr>
          <w:b/>
          <w:lang w:eastAsia="en-US"/>
        </w:rPr>
        <w:t xml:space="preserve">foglalkoztatottá válók aránya </w:t>
      </w:r>
      <w:r w:rsidR="00CA5BB9" w:rsidRPr="00271989">
        <w:rPr>
          <w:b/>
          <w:lang w:eastAsia="en-US"/>
        </w:rPr>
        <w:t>45</w:t>
      </w:r>
      <w:r w:rsidRPr="00271989">
        <w:rPr>
          <w:b/>
          <w:lang w:eastAsia="en-US"/>
        </w:rPr>
        <w:t>%</w:t>
      </w:r>
      <w:r w:rsidRPr="00271989">
        <w:rPr>
          <w:lang w:eastAsia="en-US"/>
        </w:rPr>
        <w:t>-</w:t>
      </w:r>
      <w:r w:rsidRPr="00271989">
        <w:rPr>
          <w:b/>
          <w:lang w:eastAsia="en-US"/>
        </w:rPr>
        <w:t>os</w:t>
      </w:r>
      <w:r w:rsidRPr="00271989">
        <w:rPr>
          <w:lang w:eastAsia="en-US"/>
        </w:rPr>
        <w:t xml:space="preserve"> nagyságrendet ért el a megyében, amely </w:t>
      </w:r>
      <w:r w:rsidR="00CA5BB9" w:rsidRPr="00271989">
        <w:rPr>
          <w:lang w:eastAsia="en-US"/>
        </w:rPr>
        <w:t xml:space="preserve">mind </w:t>
      </w:r>
      <w:r w:rsidRPr="00271989">
        <w:rPr>
          <w:lang w:eastAsia="en-US"/>
        </w:rPr>
        <w:t>a megelőző év</w:t>
      </w:r>
      <w:r w:rsidR="00CA5BB9" w:rsidRPr="00271989">
        <w:rPr>
          <w:lang w:eastAsia="en-US"/>
        </w:rPr>
        <w:t>i adattól, mind</w:t>
      </w:r>
      <w:r w:rsidRPr="00271989">
        <w:rPr>
          <w:lang w:eastAsia="en-US"/>
        </w:rPr>
        <w:t xml:space="preserve"> az országos átlag</w:t>
      </w:r>
      <w:r w:rsidR="00CA5BB9" w:rsidRPr="00271989">
        <w:rPr>
          <w:lang w:eastAsia="en-US"/>
        </w:rPr>
        <w:t>tól kismértékben marad el</w:t>
      </w:r>
      <w:r w:rsidRPr="00271989">
        <w:rPr>
          <w:lang w:eastAsia="en-US"/>
        </w:rPr>
        <w:t>.</w:t>
      </w:r>
      <w:r w:rsidR="00717FCD" w:rsidRPr="00271989">
        <w:rPr>
          <w:lang w:eastAsia="en-US"/>
        </w:rPr>
        <w:br/>
      </w:r>
      <w:r w:rsidRPr="00271989">
        <w:rPr>
          <w:lang w:eastAsia="en-US"/>
        </w:rPr>
        <w:t xml:space="preserve">A támogatással elhelyezkedők aránya </w:t>
      </w:r>
      <w:r w:rsidR="009B1FDD" w:rsidRPr="00271989">
        <w:rPr>
          <w:lang w:eastAsia="en-US"/>
        </w:rPr>
        <w:t>21,2</w:t>
      </w:r>
      <w:r w:rsidR="003B7C4C" w:rsidRPr="00271989">
        <w:rPr>
          <w:lang w:eastAsia="en-US"/>
        </w:rPr>
        <w:t>%</w:t>
      </w:r>
      <w:r w:rsidRPr="00271989">
        <w:rPr>
          <w:lang w:eastAsia="en-US"/>
        </w:rPr>
        <w:t xml:space="preserve">, a támogatás nélkül foglalkoztatottá válóké </w:t>
      </w:r>
      <w:r w:rsidR="009B1FDD" w:rsidRPr="00271989">
        <w:rPr>
          <w:lang w:eastAsia="en-US"/>
        </w:rPr>
        <w:t>23,8</w:t>
      </w:r>
      <w:r w:rsidR="003B7C4C" w:rsidRPr="00271989">
        <w:rPr>
          <w:lang w:eastAsia="en-US"/>
        </w:rPr>
        <w:t>%</w:t>
      </w:r>
      <w:r w:rsidRPr="00271989">
        <w:rPr>
          <w:lang w:eastAsia="en-US"/>
        </w:rPr>
        <w:t xml:space="preserve">. </w:t>
      </w:r>
      <w:r w:rsidRPr="00271989">
        <w:rPr>
          <w:b/>
          <w:lang w:eastAsia="en-US"/>
        </w:rPr>
        <w:t xml:space="preserve">A támogatás nélkül foglalkoztatottá válók aránya a megelőző évi hasonló időszaki adatnál </w:t>
      </w:r>
      <w:r w:rsidR="009B1FDD" w:rsidRPr="00271989">
        <w:rPr>
          <w:b/>
          <w:lang w:eastAsia="en-US"/>
        </w:rPr>
        <w:t>2</w:t>
      </w:r>
      <w:r w:rsidRPr="00271989">
        <w:rPr>
          <w:b/>
          <w:lang w:eastAsia="en-US"/>
        </w:rPr>
        <w:t>%-ponttal, míg az országos átlagnál (</w:t>
      </w:r>
      <w:r w:rsidR="009B1FDD" w:rsidRPr="00271989">
        <w:rPr>
          <w:b/>
          <w:lang w:eastAsia="en-US"/>
        </w:rPr>
        <w:t>20,7</w:t>
      </w:r>
      <w:r w:rsidRPr="00271989">
        <w:rPr>
          <w:b/>
          <w:lang w:eastAsia="en-US"/>
        </w:rPr>
        <w:t>%)</w:t>
      </w:r>
      <w:r w:rsidR="009B1FDD" w:rsidRPr="00271989">
        <w:rPr>
          <w:b/>
          <w:lang w:eastAsia="en-US"/>
        </w:rPr>
        <w:t xml:space="preserve"> 3,1</w:t>
      </w:r>
      <w:r w:rsidRPr="00271989">
        <w:rPr>
          <w:b/>
          <w:lang w:eastAsia="en-US"/>
        </w:rPr>
        <w:t>%-ponttal kedvezőbb</w:t>
      </w:r>
      <w:r w:rsidRPr="00271989">
        <w:rPr>
          <w:lang w:eastAsia="en-US"/>
        </w:rPr>
        <w:t xml:space="preserve">, ezen belül </w:t>
      </w:r>
      <w:r w:rsidR="00B83B4F" w:rsidRPr="00271989">
        <w:rPr>
          <w:lang w:eastAsia="en-US"/>
        </w:rPr>
        <w:t>bizonyos</w:t>
      </w:r>
      <w:r w:rsidRPr="00271989">
        <w:rPr>
          <w:lang w:eastAsia="en-US"/>
        </w:rPr>
        <w:t xml:space="preserve"> kiemelt célcsoport</w:t>
      </w:r>
      <w:r w:rsidR="00B83B4F" w:rsidRPr="00271989">
        <w:rPr>
          <w:lang w:eastAsia="en-US"/>
        </w:rPr>
        <w:t>ok</w:t>
      </w:r>
      <w:r w:rsidRPr="00271989">
        <w:rPr>
          <w:lang w:eastAsia="en-US"/>
        </w:rPr>
        <w:t xml:space="preserve">nál (álláskereső nőknél, férfiaknál, a 25 év alattiaknál illetve felettieknél, 50 év felettieknél,) szignifikánsan kedvezőbb a zalai adat az országosnál. </w:t>
      </w:r>
    </w:p>
    <w:p w:rsidR="004131FE" w:rsidRPr="00271989" w:rsidRDefault="004131FE" w:rsidP="00216B07">
      <w:pPr>
        <w:shd w:val="clear" w:color="auto" w:fill="FFFFFF"/>
        <w:tabs>
          <w:tab w:val="left" w:pos="1445"/>
        </w:tabs>
        <w:suppressAutoHyphens/>
        <w:spacing w:before="100" w:beforeAutospacing="1" w:after="120"/>
        <w:jc w:val="both"/>
      </w:pPr>
      <w:r w:rsidRPr="00271989">
        <w:t xml:space="preserve">A világjárvány hatásai a </w:t>
      </w:r>
      <w:r w:rsidRPr="00271989">
        <w:rPr>
          <w:b/>
        </w:rPr>
        <w:t xml:space="preserve">munkaerő-kereslet </w:t>
      </w:r>
      <w:r w:rsidRPr="00271989">
        <w:t>nagyságrendjében és összetételében is érződtek. 2020-ban</w:t>
      </w:r>
      <w:r w:rsidRPr="00271989">
        <w:rPr>
          <w:color w:val="FF0000"/>
        </w:rPr>
        <w:t xml:space="preserve"> </w:t>
      </w:r>
      <w:r w:rsidRPr="00271989">
        <w:t xml:space="preserve">a munkáltatók 11,5 ezer </w:t>
      </w:r>
      <w:r w:rsidRPr="00271989">
        <w:rPr>
          <w:b/>
        </w:rPr>
        <w:t>új álláshelyet</w:t>
      </w:r>
      <w:r w:rsidRPr="00271989">
        <w:t xml:space="preserve"> jelentettek be a megyében, amiből 4,7 ezer volt a nem támogatott, jóval kevesebb, mint egy évvel korábban. A nem támogatott zalai igény így is közel 4%-a az országosnak, ami magasnak számít. A gazdaság újraindításának érdekében hozott kormányzati intézkedések hatására a félév végétől megugrott </w:t>
      </w:r>
      <w:r w:rsidRPr="00271989">
        <w:rPr>
          <w:b/>
        </w:rPr>
        <w:t>a támogatással betöltött munkahelyek száma</w:t>
      </w:r>
      <w:r w:rsidRPr="00271989">
        <w:t>, leginkább a kereskedelem, szálláshely-szolgáltatás, vendéglátás területén.</w:t>
      </w:r>
    </w:p>
    <w:p w:rsidR="006E0AD4" w:rsidRPr="00271989" w:rsidRDefault="006E0AD4" w:rsidP="00216B07">
      <w:pPr>
        <w:tabs>
          <w:tab w:val="center" w:pos="4536"/>
          <w:tab w:val="right" w:pos="9072"/>
        </w:tabs>
        <w:spacing w:after="120"/>
        <w:jc w:val="both"/>
        <w:rPr>
          <w:lang w:eastAsia="en-US"/>
        </w:rPr>
      </w:pPr>
      <w:r w:rsidRPr="00271989">
        <w:rPr>
          <w:lang w:eastAsia="en-US"/>
        </w:rPr>
        <w:t xml:space="preserve">A foglalkoztatási osztályok az álláskeresők elhelyezkedésének elősegítése érdekében </w:t>
      </w:r>
      <w:r w:rsidR="00B83B4F" w:rsidRPr="00271989">
        <w:rPr>
          <w:b/>
          <w:lang w:eastAsia="en-US"/>
        </w:rPr>
        <w:t>12 600</w:t>
      </w:r>
      <w:r w:rsidRPr="00271989">
        <w:rPr>
          <w:b/>
          <w:lang w:eastAsia="en-US"/>
        </w:rPr>
        <w:t xml:space="preserve"> főre vonatkozóan végeztek közvetítést</w:t>
      </w:r>
      <w:r w:rsidR="005F0104" w:rsidRPr="00271989">
        <w:rPr>
          <w:lang w:eastAsia="en-US"/>
        </w:rPr>
        <w:t>, ennek 80</w:t>
      </w:r>
      <w:r w:rsidRPr="00271989">
        <w:rPr>
          <w:lang w:eastAsia="en-US"/>
        </w:rPr>
        <w:t xml:space="preserve">%-a támogatott állásokra, </w:t>
      </w:r>
      <w:r w:rsidR="005F0104" w:rsidRPr="00271989">
        <w:rPr>
          <w:lang w:eastAsia="en-US"/>
        </w:rPr>
        <w:t>20</w:t>
      </w:r>
      <w:r w:rsidRPr="00271989">
        <w:rPr>
          <w:lang w:eastAsia="en-US"/>
        </w:rPr>
        <w:t>%-a nem támogatott állásokra irányult.</w:t>
      </w:r>
      <w:r w:rsidRPr="00271989">
        <w:rPr>
          <w:color w:val="FF0000"/>
          <w:lang w:eastAsia="en-US"/>
        </w:rPr>
        <w:t xml:space="preserve"> </w:t>
      </w:r>
      <w:r w:rsidRPr="00271989">
        <w:rPr>
          <w:lang w:eastAsia="en-US"/>
        </w:rPr>
        <w:t xml:space="preserve">A sikeres közvetítések aránya </w:t>
      </w:r>
      <w:r w:rsidR="00537BE4" w:rsidRPr="00271989">
        <w:rPr>
          <w:lang w:eastAsia="en-US"/>
        </w:rPr>
        <w:t>52,2</w:t>
      </w:r>
      <w:r w:rsidRPr="00271989">
        <w:rPr>
          <w:lang w:eastAsia="en-US"/>
        </w:rPr>
        <w:t xml:space="preserve">% volt 2020. </w:t>
      </w:r>
      <w:r w:rsidR="00537BE4" w:rsidRPr="00271989">
        <w:rPr>
          <w:lang w:eastAsia="en-US"/>
        </w:rPr>
        <w:t>évben</w:t>
      </w:r>
      <w:r w:rsidRPr="00271989">
        <w:rPr>
          <w:lang w:eastAsia="en-US"/>
        </w:rPr>
        <w:t>.</w:t>
      </w:r>
      <w:r w:rsidRPr="00271989">
        <w:rPr>
          <w:color w:val="FF0000"/>
          <w:lang w:eastAsia="en-US"/>
        </w:rPr>
        <w:t xml:space="preserve"> </w:t>
      </w:r>
      <w:r w:rsidRPr="00271989">
        <w:rPr>
          <w:lang w:eastAsia="en-US"/>
        </w:rPr>
        <w:t>A sikertelen közvetítéseknél az ügyfelek oldaláról a máshová történő elhelyezkedés, egészségügyi problémák, családi okok, utazási nehézségek, nem megfelelő munkarend, nem megfelelő bér, a foglalkoztatás jellege szerepelnek nagyobb arányban az elutasítás indokaként,</w:t>
      </w:r>
      <w:r w:rsidRPr="00271989">
        <w:rPr>
          <w:color w:val="FF0000"/>
          <w:lang w:eastAsia="en-US"/>
        </w:rPr>
        <w:t xml:space="preserve"> </w:t>
      </w:r>
      <w:r w:rsidRPr="00271989">
        <w:rPr>
          <w:lang w:eastAsia="en-US"/>
        </w:rPr>
        <w:t xml:space="preserve">a munkáltatók oldaláról pedig az indok nélküli elutasítás, </w:t>
      </w:r>
      <w:r w:rsidR="005E26CB" w:rsidRPr="00271989">
        <w:rPr>
          <w:lang w:eastAsia="en-US"/>
        </w:rPr>
        <w:t xml:space="preserve">nem megfelelő képzettség, képesség, tulajdonság, </w:t>
      </w:r>
      <w:r w:rsidRPr="00271989">
        <w:rPr>
          <w:lang w:eastAsia="en-US"/>
        </w:rPr>
        <w:t xml:space="preserve">az álláshely már betöltve, </w:t>
      </w:r>
      <w:r w:rsidR="005E26CB" w:rsidRPr="00271989">
        <w:rPr>
          <w:lang w:eastAsia="en-US"/>
        </w:rPr>
        <w:t xml:space="preserve">egészségügyi ok, </w:t>
      </w:r>
      <w:r w:rsidRPr="00271989">
        <w:rPr>
          <w:lang w:eastAsia="en-US"/>
        </w:rPr>
        <w:t>mun</w:t>
      </w:r>
      <w:r w:rsidR="005E26CB" w:rsidRPr="00271989">
        <w:rPr>
          <w:lang w:eastAsia="en-US"/>
        </w:rPr>
        <w:t>katapasztalat, gyakorlat hiánya</w:t>
      </w:r>
      <w:r w:rsidRPr="00271989">
        <w:rPr>
          <w:lang w:eastAsia="en-US"/>
        </w:rPr>
        <w:t xml:space="preserve"> merül fel </w:t>
      </w:r>
      <w:r w:rsidR="005E26CB" w:rsidRPr="00271989">
        <w:rPr>
          <w:lang w:eastAsia="en-US"/>
        </w:rPr>
        <w:t xml:space="preserve">gyakran </w:t>
      </w:r>
      <w:r w:rsidRPr="00271989">
        <w:rPr>
          <w:lang w:eastAsia="en-US"/>
        </w:rPr>
        <w:t>az elutasítás okaként.</w:t>
      </w:r>
      <w:r w:rsidRPr="00271989">
        <w:rPr>
          <w:color w:val="FF0000"/>
          <w:lang w:eastAsia="en-US"/>
        </w:rPr>
        <w:t xml:space="preserve"> </w:t>
      </w:r>
      <w:r w:rsidRPr="00271989">
        <w:rPr>
          <w:lang w:eastAsia="en-US"/>
        </w:rPr>
        <w:t xml:space="preserve">A szakmunkás, az ügyintézői és a diplomás foglalkoztatására irányuló állásbejelentések esetén egyre gyakoribb a szakmai önéletrajz használatának igénye a munkáltatók részéről, a </w:t>
      </w:r>
      <w:r w:rsidRPr="00271989">
        <w:rPr>
          <w:b/>
          <w:lang w:eastAsia="en-US"/>
        </w:rPr>
        <w:t>Virtuális Munkaerőpiac Portál</w:t>
      </w:r>
      <w:r w:rsidRPr="00271989">
        <w:rPr>
          <w:lang w:eastAsia="en-US"/>
        </w:rPr>
        <w:t xml:space="preserve"> használata az önéletrajzok moderálásán keresztül ebben is segítséget tud nyújtani. A munkaerőigényeknek leginkább megfelelő munkaerő kiválasztásában, felkészítésében és közvetítésében segíthet az álláskeresők munkaerőpiaci esélyeihez igazodó besorolása. </w:t>
      </w:r>
    </w:p>
    <w:p w:rsidR="006E0AD4" w:rsidRPr="00271989" w:rsidRDefault="006E0AD4" w:rsidP="00271989">
      <w:pPr>
        <w:spacing w:before="240" w:after="120"/>
        <w:jc w:val="both"/>
        <w:rPr>
          <w:b/>
          <w:u w:val="single"/>
        </w:rPr>
      </w:pPr>
      <w:r w:rsidRPr="00271989">
        <w:rPr>
          <w:b/>
          <w:u w:val="single"/>
        </w:rPr>
        <w:t>Munkaerőpiaci aktív beavatkozások</w:t>
      </w:r>
    </w:p>
    <w:p w:rsidR="006E0AD4" w:rsidRPr="00271989" w:rsidRDefault="006E0AD4" w:rsidP="00216B07">
      <w:pPr>
        <w:jc w:val="both"/>
        <w:rPr>
          <w:b/>
          <w:bCs/>
        </w:rPr>
      </w:pPr>
      <w:r w:rsidRPr="00271989">
        <w:rPr>
          <w:lang w:eastAsia="en-US"/>
        </w:rPr>
        <w:t xml:space="preserve">Az álláskeresők elhelyezkedésének elősegítésében a rendelkezésre álló hazai és uniós források jelentős szerepet játszanak. A Nemzeti Foglalkoztatási Alapból a 2020. </w:t>
      </w:r>
      <w:r w:rsidR="00360764" w:rsidRPr="00271989">
        <w:rPr>
          <w:lang w:eastAsia="en-US"/>
        </w:rPr>
        <w:t>évben</w:t>
      </w:r>
      <w:r w:rsidRPr="00271989">
        <w:rPr>
          <w:lang w:eastAsia="en-US"/>
        </w:rPr>
        <w:t xml:space="preserve"> </w:t>
      </w:r>
      <w:r w:rsidR="00412E02" w:rsidRPr="00271989">
        <w:rPr>
          <w:bCs/>
        </w:rPr>
        <w:t xml:space="preserve">10 593,9 </w:t>
      </w:r>
      <w:r w:rsidRPr="00271989">
        <w:rPr>
          <w:lang w:eastAsia="en-US"/>
        </w:rPr>
        <w:t>milli</w:t>
      </w:r>
      <w:r w:rsidR="0075033A">
        <w:rPr>
          <w:lang w:eastAsia="en-US"/>
        </w:rPr>
        <w:t>ó Ft pénzügyi kifizetés történt.</w:t>
      </w:r>
      <w:r w:rsidRPr="00271989">
        <w:rPr>
          <w:lang w:eastAsia="en-US"/>
        </w:rPr>
        <w:t xml:space="preserve"> </w:t>
      </w:r>
      <w:r w:rsidR="0075033A">
        <w:rPr>
          <w:lang w:eastAsia="en-US"/>
        </w:rPr>
        <w:t>E</w:t>
      </w:r>
      <w:r w:rsidRPr="00271989">
        <w:rPr>
          <w:lang w:eastAsia="en-US"/>
        </w:rPr>
        <w:t>nnek legnagyobb hányada,</w:t>
      </w:r>
      <w:r w:rsidRPr="00271989">
        <w:rPr>
          <w:color w:val="FF0000"/>
          <w:lang w:eastAsia="en-US"/>
        </w:rPr>
        <w:t xml:space="preserve"> </w:t>
      </w:r>
      <w:r w:rsidR="00412E02" w:rsidRPr="00271989">
        <w:rPr>
          <w:lang w:eastAsia="en-US"/>
        </w:rPr>
        <w:t>41,8</w:t>
      </w:r>
      <w:r w:rsidRPr="00271989">
        <w:rPr>
          <w:lang w:eastAsia="en-US"/>
        </w:rPr>
        <w:t xml:space="preserve">%-a a vírushelyzetből adódó megnövekedett álláskeresői számmal összefüggésben a Szolidaritási Alaprészből került kifizetésre, </w:t>
      </w:r>
      <w:r w:rsidR="00F87F9A" w:rsidRPr="00271989">
        <w:rPr>
          <w:lang w:eastAsia="en-US"/>
        </w:rPr>
        <w:t>18,6%-a a GINOP-5.1.1-15 projekt, 18,4</w:t>
      </w:r>
      <w:r w:rsidRPr="00271989">
        <w:rPr>
          <w:lang w:eastAsia="en-US"/>
        </w:rPr>
        <w:t>%-a a startmunka programok vonatkozásában,</w:t>
      </w:r>
      <w:r w:rsidRPr="00271989">
        <w:rPr>
          <w:color w:val="FF0000"/>
          <w:lang w:eastAsia="en-US"/>
        </w:rPr>
        <w:t xml:space="preserve"> </w:t>
      </w:r>
      <w:r w:rsidR="00EC1F24" w:rsidRPr="00271989">
        <w:rPr>
          <w:lang w:eastAsia="en-US"/>
        </w:rPr>
        <w:t>9,2</w:t>
      </w:r>
      <w:r w:rsidRPr="00271989">
        <w:rPr>
          <w:lang w:eastAsia="en-US"/>
        </w:rPr>
        <w:t>%-a a Munkahely-megtartási program,</w:t>
      </w:r>
      <w:r w:rsidRPr="00271989">
        <w:rPr>
          <w:color w:val="FF0000"/>
          <w:lang w:eastAsia="en-US"/>
        </w:rPr>
        <w:t xml:space="preserve"> </w:t>
      </w:r>
      <w:r w:rsidR="00EC1F24" w:rsidRPr="00271989">
        <w:rPr>
          <w:lang w:eastAsia="en-US"/>
        </w:rPr>
        <w:t>7,3</w:t>
      </w:r>
      <w:r w:rsidRPr="00271989">
        <w:rPr>
          <w:lang w:eastAsia="en-US"/>
        </w:rPr>
        <w:t>%-a a GINOP-5.2.1-14 projekt,</w:t>
      </w:r>
      <w:r w:rsidR="00EC1F24" w:rsidRPr="00271989">
        <w:rPr>
          <w:color w:val="FF0000"/>
          <w:lang w:eastAsia="en-US"/>
        </w:rPr>
        <w:t xml:space="preserve"> </w:t>
      </w:r>
      <w:r w:rsidR="00EC1F24" w:rsidRPr="00271989">
        <w:rPr>
          <w:lang w:eastAsia="en-US"/>
        </w:rPr>
        <w:t>2,3</w:t>
      </w:r>
      <w:r w:rsidRPr="00271989">
        <w:rPr>
          <w:lang w:eastAsia="en-US"/>
        </w:rPr>
        <w:t xml:space="preserve">%-a a Foglalkoztatási Alaprész decentralizált és központi kerete, </w:t>
      </w:r>
      <w:r w:rsidR="00EC1F24" w:rsidRPr="00271989">
        <w:rPr>
          <w:lang w:eastAsia="en-US"/>
        </w:rPr>
        <w:t>1,4</w:t>
      </w:r>
      <w:r w:rsidRPr="00271989">
        <w:rPr>
          <w:lang w:eastAsia="en-US"/>
        </w:rPr>
        <w:t>%-a a KFI munkahelymegőrző bértámogatás,</w:t>
      </w:r>
      <w:r w:rsidRPr="00271989">
        <w:rPr>
          <w:color w:val="FF0000"/>
          <w:lang w:eastAsia="en-US"/>
        </w:rPr>
        <w:t xml:space="preserve"> </w:t>
      </w:r>
      <w:r w:rsidR="00EC1F24" w:rsidRPr="00271989">
        <w:rPr>
          <w:lang w:eastAsia="en-US"/>
        </w:rPr>
        <w:t>0,6%-a az Ágazati bértámogatás,</w:t>
      </w:r>
      <w:r w:rsidR="00EC1F24" w:rsidRPr="00271989">
        <w:rPr>
          <w:color w:val="FF0000"/>
          <w:lang w:eastAsia="en-US"/>
        </w:rPr>
        <w:t xml:space="preserve"> </w:t>
      </w:r>
      <w:r w:rsidRPr="00271989">
        <w:rPr>
          <w:lang w:eastAsia="en-US"/>
        </w:rPr>
        <w:t>kicsiny hányadban pedig a Bérgarancia Alaprész és a GINOP 5.3.10 projekt vonatkozásában teljesült.</w:t>
      </w:r>
      <w:r w:rsidRPr="00271989">
        <w:rPr>
          <w:color w:val="FF0000"/>
          <w:lang w:eastAsia="en-US"/>
        </w:rPr>
        <w:t xml:space="preserve"> </w:t>
      </w:r>
      <w:r w:rsidRPr="00271989">
        <w:rPr>
          <w:lang w:eastAsia="en-US"/>
        </w:rPr>
        <w:t>Ezen kívül valósultak meg a TOP programok (</w:t>
      </w:r>
      <w:r w:rsidR="00EC1F24" w:rsidRPr="00271989">
        <w:rPr>
          <w:lang w:eastAsia="en-US"/>
        </w:rPr>
        <w:t>392,1</w:t>
      </w:r>
      <w:r w:rsidRPr="00271989">
        <w:rPr>
          <w:lang w:eastAsia="en-US"/>
        </w:rPr>
        <w:t xml:space="preserve"> millió Ft) és a GINOP-6.1.1 program (</w:t>
      </w:r>
      <w:r w:rsidR="00EC1F24" w:rsidRPr="00271989">
        <w:rPr>
          <w:lang w:eastAsia="en-US"/>
        </w:rPr>
        <w:t>27,9</w:t>
      </w:r>
      <w:r w:rsidRPr="00271989">
        <w:rPr>
          <w:lang w:eastAsia="en-US"/>
        </w:rPr>
        <w:t xml:space="preserve"> millió Ft) kifizetései. </w:t>
      </w:r>
    </w:p>
    <w:p w:rsidR="006E0AD4" w:rsidRPr="00271989" w:rsidRDefault="006E0AD4" w:rsidP="00271989">
      <w:pPr>
        <w:spacing w:before="240" w:after="120"/>
        <w:jc w:val="both"/>
        <w:rPr>
          <w:b/>
          <w:u w:val="single"/>
        </w:rPr>
      </w:pPr>
      <w:r w:rsidRPr="00271989">
        <w:rPr>
          <w:b/>
          <w:u w:val="single"/>
        </w:rPr>
        <w:lastRenderedPageBreak/>
        <w:t>Új támogatási formák</w:t>
      </w:r>
    </w:p>
    <w:p w:rsidR="006E0AD4" w:rsidRPr="00271989" w:rsidRDefault="006E0AD4" w:rsidP="00216B07">
      <w:pPr>
        <w:spacing w:after="120"/>
        <w:jc w:val="both"/>
      </w:pPr>
      <w:r w:rsidRPr="00271989">
        <w:t xml:space="preserve">A kormány a koronavírus járvány miatt létrehozott gazdaságvédelmi akciótervének fontos elemei voltak </w:t>
      </w:r>
      <w:r w:rsidRPr="00271989">
        <w:rPr>
          <w:b/>
        </w:rPr>
        <w:t>a</w:t>
      </w:r>
      <w:r w:rsidRPr="00271989">
        <w:rPr>
          <w:rFonts w:eastAsia="Calibri"/>
          <w:b/>
        </w:rPr>
        <w:t xml:space="preserve"> kutatási, fejlesztési és innovációs (KFI) szektor magasan képzett munkavállalóinak bértámogatás</w:t>
      </w:r>
      <w:r w:rsidRPr="00271989">
        <w:rPr>
          <w:b/>
        </w:rPr>
        <w:t xml:space="preserve">a és a csökkentett munkaidős foglalkoztatás támogatása. </w:t>
      </w:r>
      <w:r w:rsidRPr="00271989">
        <w:t>Mindkét támogatást 2020. augusztus 31-ig</w:t>
      </w:r>
      <w:r w:rsidRPr="00271989">
        <w:rPr>
          <w:b/>
        </w:rPr>
        <w:t xml:space="preserve"> </w:t>
      </w:r>
      <w:r w:rsidRPr="00271989">
        <w:t>lehetett igényelni</w:t>
      </w:r>
      <w:r w:rsidRPr="00271989">
        <w:rPr>
          <w:b/>
        </w:rPr>
        <w:t xml:space="preserve"> </w:t>
      </w:r>
      <w:r w:rsidRPr="00271989">
        <w:t>3 hónapra és továbbfoglalkoztatási kötelezettség kapcsolódott hozzájuk.</w:t>
      </w:r>
    </w:p>
    <w:p w:rsidR="00D67AF6" w:rsidRPr="00271989" w:rsidRDefault="006E0AD4" w:rsidP="00216B07">
      <w:pPr>
        <w:spacing w:after="120"/>
        <w:jc w:val="both"/>
        <w:rPr>
          <w:b/>
        </w:rPr>
      </w:pPr>
      <w:r w:rsidRPr="00271989">
        <w:rPr>
          <w:bCs/>
        </w:rPr>
        <w:t xml:space="preserve">A </w:t>
      </w:r>
      <w:r w:rsidRPr="0075033A">
        <w:rPr>
          <w:b/>
          <w:bCs/>
        </w:rPr>
        <w:t>KFI bértámogatás</w:t>
      </w:r>
      <w:r w:rsidRPr="00271989">
        <w:rPr>
          <w:bCs/>
        </w:rPr>
        <w:t xml:space="preserve"> célja a magasan képzett, KFI szektorban dolgozó munkavállalók (például mérnökök, fejlesztőmérnökök, informatikusok) munkahelyének védelme, a támogatással a szektorban dolgozók munkabérének fenntartása, a KFI szektor dolgozóinak tartós foglalkoztatása a magyar munkaerőpiacon. </w:t>
      </w:r>
      <w:r w:rsidRPr="00271989">
        <w:t>A kérelmet 2020. április 15-től lehetett benyújtani</w:t>
      </w:r>
      <w:r w:rsidRPr="00271989">
        <w:rPr>
          <w:b/>
        </w:rPr>
        <w:t xml:space="preserve">. </w:t>
      </w:r>
    </w:p>
    <w:p w:rsidR="006E0AD4" w:rsidRPr="00271989" w:rsidRDefault="006E0AD4" w:rsidP="00216B07">
      <w:pPr>
        <w:spacing w:after="120"/>
        <w:jc w:val="both"/>
        <w:rPr>
          <w:b/>
        </w:rPr>
      </w:pPr>
      <w:r w:rsidRPr="00271989">
        <w:rPr>
          <w:b/>
        </w:rPr>
        <w:t xml:space="preserve">Zala megyében 23 munkáltatói kérelem érkezett 279 főre, összesen </w:t>
      </w:r>
      <w:r w:rsidRPr="00271989">
        <w:rPr>
          <w:b/>
          <w:bCs/>
        </w:rPr>
        <w:t>187</w:t>
      </w:r>
      <w:r w:rsidRPr="00271989">
        <w:rPr>
          <w:b/>
        </w:rPr>
        <w:t> </w:t>
      </w:r>
      <w:r w:rsidRPr="00271989">
        <w:rPr>
          <w:b/>
          <w:bCs/>
        </w:rPr>
        <w:t>471</w:t>
      </w:r>
      <w:r w:rsidRPr="00271989">
        <w:rPr>
          <w:b/>
        </w:rPr>
        <w:t xml:space="preserve"> ezer Ft-ra, a munkáltatók átlagos statisztikai állományi létszáma 10 383 fő volt. </w:t>
      </w:r>
      <w:r w:rsidRPr="00271989">
        <w:t>A kérelmet benyújtó munkáltatók közül 12 a feldolgozóipar, 8 a szakmai, tudományos, műszaki tevékenység és egy-egy az egyéb szolgáltatás, az információ, kommunikáció illetve a pénzügyi, biztosítási tevékenység területén tevékenykedik.</w:t>
      </w:r>
      <w:r w:rsidRPr="00271989">
        <w:rPr>
          <w:color w:val="FF0000"/>
        </w:rPr>
        <w:t xml:space="preserve"> </w:t>
      </w:r>
      <w:r w:rsidRPr="00271989">
        <w:rPr>
          <w:b/>
        </w:rPr>
        <w:t>22</w:t>
      </w:r>
      <w:r w:rsidRPr="00271989">
        <w:rPr>
          <w:b/>
          <w:color w:val="FF0000"/>
        </w:rPr>
        <w:t xml:space="preserve"> </w:t>
      </w:r>
      <w:r w:rsidRPr="00271989">
        <w:rPr>
          <w:b/>
        </w:rPr>
        <w:t>támogató döntés született</w:t>
      </w:r>
      <w:r w:rsidRPr="00271989">
        <w:rPr>
          <w:b/>
          <w:color w:val="FF0000"/>
        </w:rPr>
        <w:t xml:space="preserve"> </w:t>
      </w:r>
      <w:r w:rsidRPr="00271989">
        <w:rPr>
          <w:b/>
        </w:rPr>
        <w:t xml:space="preserve">276 főre, 186 222 ezer Ft-ra vonatkozóan. </w:t>
      </w:r>
    </w:p>
    <w:p w:rsidR="006E0AD4" w:rsidRPr="00271989" w:rsidRDefault="006E0AD4" w:rsidP="00216B07">
      <w:pPr>
        <w:spacing w:after="120"/>
        <w:jc w:val="both"/>
        <w:rPr>
          <w:bCs/>
        </w:rPr>
      </w:pPr>
      <w:r w:rsidRPr="00271989">
        <w:rPr>
          <w:b/>
        </w:rPr>
        <w:t>A csökkentett munkaidős foglalkoztatási támogatás</w:t>
      </w:r>
      <w:r w:rsidRPr="00271989">
        <w:t xml:space="preserve"> </w:t>
      </w:r>
      <w:r w:rsidRPr="00271989">
        <w:rPr>
          <w:b/>
        </w:rPr>
        <w:t>célja</w:t>
      </w:r>
      <w:r w:rsidRPr="00271989">
        <w:t xml:space="preserve"> a munkavállaló</w:t>
      </w:r>
      <w:bookmarkStart w:id="1" w:name="szÁGN2"/>
      <w:bookmarkEnd w:id="1"/>
      <w:r w:rsidRPr="00271989">
        <w:t xml:space="preserve"> átmeneti gazdasági nehézség miatt veszélyeztetett munkahelye megőrzésének segítése</w:t>
      </w:r>
      <w:r w:rsidRPr="00271989">
        <w:rPr>
          <w:shd w:val="clear" w:color="auto" w:fill="FFFFFF"/>
        </w:rPr>
        <w:t> </w:t>
      </w:r>
      <w:r w:rsidRPr="00271989">
        <w:t>olyan - a munkaideje csökkentésével létrejövő, de anyagilag részben kompenzált - rövidített munkaidős foglalkoztatással, melynek megvalósításában mind az állam, mind a munkaadó, mind a munkavállaló közreműködik. A jogszabályi feltételek fennállása esetén munkaadó és a munkavállaló együttes kérelmére lehetett a támogatást megállapítani 2020. április 16-tól.</w:t>
      </w:r>
      <w:r w:rsidRPr="00271989">
        <w:br/>
        <w:t>A támogatási forma iránt élénk érdeklődés mutatkozott Zala megyében</w:t>
      </w:r>
      <w:r w:rsidRPr="00271989">
        <w:rPr>
          <w:b/>
        </w:rPr>
        <w:t xml:space="preserve"> 567 munkáltatói és 7 259 munkavállalói közös kérelem érkezett 17 ágazat területéről,</w:t>
      </w:r>
      <w:r w:rsidRPr="00271989">
        <w:rPr>
          <w:b/>
          <w:bCs/>
        </w:rPr>
        <w:t xml:space="preserve"> 1 173 207 ezer Ft-ra, a munkáltatók statisztikai állományi létszáma összesen 53 588 fő. 7 169 főre vonatkozóan született támogató döntés 1 145 739 </w:t>
      </w:r>
      <w:r w:rsidRPr="00271989">
        <w:rPr>
          <w:b/>
        </w:rPr>
        <w:t>ezer Ft-os nagyságrendben.</w:t>
      </w:r>
      <w:r w:rsidRPr="00271989">
        <w:rPr>
          <w:b/>
          <w:color w:val="FF0000"/>
        </w:rPr>
        <w:t xml:space="preserve"> </w:t>
      </w:r>
      <w:r w:rsidRPr="00271989">
        <w:rPr>
          <w:b/>
          <w:bCs/>
        </w:rPr>
        <w:t xml:space="preserve">A kérelmet benyújtó munkavállalók több mint fele (3 684 fő) a feldolgozóipar területén dolgozik, </w:t>
      </w:r>
      <w:r w:rsidRPr="00271989">
        <w:rPr>
          <w:bCs/>
        </w:rPr>
        <w:t>jelentősebb volt még a szálláshely-szolgáltatás, vendéglátás (18,8%, 1362 fő), a kereskedelem, gépjárműjavítás (9,6%, 697 fő) ágazatokban foglalkoztatottak támogatás iránti igénye.</w:t>
      </w:r>
    </w:p>
    <w:p w:rsidR="006E0AD4" w:rsidRPr="00271989" w:rsidRDefault="006E0AD4" w:rsidP="00216B07">
      <w:pPr>
        <w:spacing w:after="120"/>
        <w:jc w:val="both"/>
      </w:pPr>
      <w:r w:rsidRPr="00271989">
        <w:t xml:space="preserve">A harmadik fontos eszköz 2020. május 18-tól </w:t>
      </w:r>
      <w:r w:rsidRPr="00271989">
        <w:rPr>
          <w:b/>
        </w:rPr>
        <w:t>a munkahelyteremtő bérköltség támogatás bevezetése</w:t>
      </w:r>
      <w:r w:rsidRPr="00271989">
        <w:t xml:space="preserve"> volt, amely a 25 év alattiak esetében a GINOP 5.2.1-14</w:t>
      </w:r>
      <w:r w:rsidRPr="00271989">
        <w:rPr>
          <w:bCs/>
        </w:rPr>
        <w:t xml:space="preserve"> </w:t>
      </w:r>
      <w:r w:rsidRPr="00271989">
        <w:t xml:space="preserve">„Ifjúsági Garancia” programból, 25 év felettiek esetében pedig a GINOP 5.1.1 ”Út a munkaerőpiacra” kiemelt projektből került finanszírozásra. </w:t>
      </w:r>
      <w:r w:rsidRPr="00271989">
        <w:rPr>
          <w:shd w:val="clear" w:color="auto" w:fill="FFFFFF"/>
        </w:rPr>
        <w:t>A támogatás folyósítási időtartama fix 6 hónap lehet, további fix 3 hónapos támogatás nélküli továbbfoglalkoztatási kötelezettség előírása mellett.</w:t>
      </w:r>
      <w:r w:rsidRPr="00271989">
        <w:t xml:space="preserve"> Zala megyében</w:t>
      </w:r>
      <w:r w:rsidRPr="00271989">
        <w:rPr>
          <w:b/>
        </w:rPr>
        <w:t xml:space="preserve"> 2201 főre vonatkozó kérelem érkezett</w:t>
      </w:r>
      <w:r w:rsidRPr="00271989">
        <w:t xml:space="preserve"> </w:t>
      </w:r>
      <w:r w:rsidRPr="00271989">
        <w:rPr>
          <w:b/>
          <w:bCs/>
        </w:rPr>
        <w:t xml:space="preserve">2 570 224,1 ezer </w:t>
      </w:r>
      <w:r w:rsidRPr="00271989">
        <w:rPr>
          <w:b/>
        </w:rPr>
        <w:t xml:space="preserve">Ft </w:t>
      </w:r>
      <w:r w:rsidRPr="00271989">
        <w:t xml:space="preserve">támogatási nagyságrendre </w:t>
      </w:r>
      <w:r w:rsidRPr="00271989">
        <w:rPr>
          <w:b/>
        </w:rPr>
        <w:t>20 ágazat területéről</w:t>
      </w:r>
      <w:r w:rsidRPr="00271989">
        <w:t>.</w:t>
      </w:r>
      <w:r w:rsidRPr="00271989">
        <w:rPr>
          <w:b/>
          <w:color w:val="FF0000"/>
        </w:rPr>
        <w:t xml:space="preserve"> </w:t>
      </w:r>
      <w:r w:rsidRPr="00271989">
        <w:t xml:space="preserve">Ebből 481 főre vonatkozóan az Ifjúsági Garancia Programból 25 év alatti ügyfelek utáni támogatási igényt jelent </w:t>
      </w:r>
      <w:r w:rsidRPr="00271989">
        <w:rPr>
          <w:bCs/>
        </w:rPr>
        <w:t xml:space="preserve">563 861,2 ezer </w:t>
      </w:r>
      <w:r w:rsidRPr="00271989">
        <w:t xml:space="preserve">Ft értékben, a többi célcsoporthoz tartozó 1720 fő esetében a GINOP 5.1.1 programból az igényelt támogatás nagysága pedig </w:t>
      </w:r>
      <w:r w:rsidRPr="00271989">
        <w:rPr>
          <w:bCs/>
        </w:rPr>
        <w:t xml:space="preserve">2 006 362,9 ezer </w:t>
      </w:r>
      <w:r w:rsidRPr="00271989">
        <w:t>Ft.</w:t>
      </w:r>
      <w:r w:rsidRPr="00271989">
        <w:rPr>
          <w:color w:val="FF0000"/>
        </w:rPr>
        <w:t xml:space="preserve"> </w:t>
      </w:r>
      <w:r w:rsidRPr="00271989">
        <w:rPr>
          <w:b/>
        </w:rPr>
        <w:t>Összesen 1861 fő támogatása valósult meg, a megítélt támogatás nagysága pedig 2 160 463,4 ezer Ft.</w:t>
      </w:r>
      <w:r w:rsidRPr="00271989">
        <w:t xml:space="preserve"> Ebből az Ifjúsági Garancia </w:t>
      </w:r>
      <w:r w:rsidR="00EC4C4D" w:rsidRPr="00271989">
        <w:t>programból 412</w:t>
      </w:r>
      <w:r w:rsidRPr="00271989">
        <w:t xml:space="preserve"> fő került támogatásra 485 455 ezer Ft összegben, m</w:t>
      </w:r>
      <w:r w:rsidR="00EC4C4D" w:rsidRPr="00271989">
        <w:t>íg a GINOP 5.1.1 programból 1449</w:t>
      </w:r>
      <w:r w:rsidRPr="00271989">
        <w:t xml:space="preserve"> fő, a megítélt támogatás nagysága pedig</w:t>
      </w:r>
      <w:r w:rsidRPr="00271989">
        <w:br/>
        <w:t>1 675 008,4 ezer Ft volt. Az igényelt létszám tekintetében a legnagyobb a szálláshely-szolgáltatás, vendéglátás ágazat súlya volt 36,9%-kal (812 fő), aztán a kereskedelem, gépjárműjavítás aránya 22,8%-kal (502 fő), majd a feldolgozóipar következett 10,4%-kal (228 fő).</w:t>
      </w:r>
    </w:p>
    <w:p w:rsidR="00626470" w:rsidRPr="00271989" w:rsidRDefault="00D65FB5" w:rsidP="00216B07">
      <w:pPr>
        <w:jc w:val="both"/>
        <w:rPr>
          <w:bCs/>
        </w:rPr>
      </w:pPr>
      <w:r w:rsidRPr="00271989">
        <w:lastRenderedPageBreak/>
        <w:t xml:space="preserve">2020. október 15. napjától indult a </w:t>
      </w:r>
      <w:r w:rsidRPr="00271989">
        <w:rPr>
          <w:b/>
        </w:rPr>
        <w:t xml:space="preserve">Vállalkozások munkaerő támogatása, </w:t>
      </w:r>
      <w:r w:rsidRPr="00271989">
        <w:t>amelynek részeként a munkaadók az állami foglalkoztatási szervként eljáró járási hivatalhoz benyújtott kérelem alapján vissza nem térítendő támogatást kaphatnak, ha állami foglalkoztatási szervnél regisztrált programrésztvevő, 25 év alatti álláskeresőt vagy alacsony iskolai végzettségű álláskeresőt foglalkoztatnak munkaviszony keretében. A támogatás folyósítási időtartama fix 5 hónap lehet. A támogatás mértéke a foglalkoztatót terhelő bérköltség (bruttó bér és szociális hozzájárulási adó) 50%-a, de teljes munkaidős foglakoztatás esetén legfeljebb 100 ezer Ft havonta.</w:t>
      </w:r>
      <w:r w:rsidRPr="00271989">
        <w:rPr>
          <w:b/>
          <w:color w:val="FF0000"/>
        </w:rPr>
        <w:t xml:space="preserve"> </w:t>
      </w:r>
      <w:r w:rsidRPr="00271989">
        <w:rPr>
          <w:b/>
        </w:rPr>
        <w:t xml:space="preserve">2020. december végéig 80 kérelem érkezett 80 főre 13 ágazat területéről és </w:t>
      </w:r>
      <w:r w:rsidRPr="00271989">
        <w:rPr>
          <w:b/>
          <w:bCs/>
        </w:rPr>
        <w:t>38 431 240</w:t>
      </w:r>
      <w:r w:rsidRPr="00271989">
        <w:rPr>
          <w:b/>
        </w:rPr>
        <w:t xml:space="preserve"> Ft támogatási nagyságrendre. A támogatott létszám 68 fő volt, a megítélt támogatás nagysága</w:t>
      </w:r>
      <w:r w:rsidR="00BA1C74">
        <w:rPr>
          <w:b/>
        </w:rPr>
        <w:t xml:space="preserve"> </w:t>
      </w:r>
      <w:r w:rsidRPr="00271989">
        <w:rPr>
          <w:b/>
          <w:bCs/>
        </w:rPr>
        <w:t xml:space="preserve">32 305 054 </w:t>
      </w:r>
      <w:r w:rsidRPr="00271989">
        <w:rPr>
          <w:b/>
        </w:rPr>
        <w:t xml:space="preserve">Ft. </w:t>
      </w:r>
      <w:r w:rsidRPr="00271989">
        <w:rPr>
          <w:b/>
          <w:bCs/>
        </w:rPr>
        <w:t>A kérelmet benyújtó munkáltatók 24%-a az építőipar</w:t>
      </w:r>
      <w:r w:rsidRPr="00271989">
        <w:rPr>
          <w:bCs/>
        </w:rPr>
        <w:t xml:space="preserve"> </w:t>
      </w:r>
      <w:r w:rsidRPr="00271989">
        <w:rPr>
          <w:b/>
          <w:bCs/>
        </w:rPr>
        <w:t xml:space="preserve">területén tevékenykedik, </w:t>
      </w:r>
      <w:r w:rsidRPr="00271989">
        <w:rPr>
          <w:bCs/>
        </w:rPr>
        <w:t>jelentősebb volt még</w:t>
      </w:r>
      <w:r w:rsidRPr="00271989">
        <w:rPr>
          <w:b/>
          <w:bCs/>
        </w:rPr>
        <w:t xml:space="preserve"> </w:t>
      </w:r>
      <w:r w:rsidRPr="00271989">
        <w:rPr>
          <w:bCs/>
        </w:rPr>
        <w:t>a feldolgozóipar (20%) és a szálláshely-szolgáltatás, vendéglátás (16%)  és a kereskedelem, gépjárműjavítás (14%) ágazatok aránya.</w:t>
      </w:r>
    </w:p>
    <w:p w:rsidR="00D65FB5" w:rsidRPr="00BA1C74" w:rsidRDefault="00D65FB5" w:rsidP="00216B07">
      <w:pPr>
        <w:jc w:val="both"/>
        <w:rPr>
          <w:b/>
          <w:sz w:val="20"/>
          <w:szCs w:val="20"/>
        </w:rPr>
      </w:pPr>
      <w:r w:rsidRPr="00271989">
        <w:rPr>
          <w:bCs/>
        </w:rPr>
        <w:t xml:space="preserve"> </w:t>
      </w:r>
    </w:p>
    <w:p w:rsidR="00E75DFB" w:rsidRPr="0075033A" w:rsidRDefault="0013282F" w:rsidP="00216B07">
      <w:pPr>
        <w:pStyle w:val="NormlWeb"/>
        <w:shd w:val="clear" w:color="auto" w:fill="FFFFFF"/>
        <w:spacing w:before="0" w:beforeAutospacing="0"/>
        <w:jc w:val="both"/>
        <w:rPr>
          <w:shd w:val="clear" w:color="auto" w:fill="FFFFFF"/>
        </w:rPr>
      </w:pPr>
      <w:r w:rsidRPr="00271989">
        <w:t xml:space="preserve">A következő segítség </w:t>
      </w:r>
      <w:r w:rsidRPr="00271989">
        <w:rPr>
          <w:b/>
        </w:rPr>
        <w:t>az Ágazati bértámogatási program</w:t>
      </w:r>
      <w:r w:rsidRPr="00271989">
        <w:t xml:space="preserve"> </w:t>
      </w:r>
      <w:r w:rsidR="00626470" w:rsidRPr="00271989">
        <w:t>elindítása volt.</w:t>
      </w:r>
      <w:r w:rsidRPr="00271989">
        <w:rPr>
          <w:color w:val="FF0000"/>
        </w:rPr>
        <w:t xml:space="preserve"> </w:t>
      </w:r>
      <w:r w:rsidR="00626470" w:rsidRPr="00271989">
        <w:rPr>
          <w:shd w:val="clear" w:color="auto" w:fill="FFFFFF"/>
        </w:rPr>
        <w:t xml:space="preserve">A korlátozások miatt nehéz helyzetbe került vállalkozások, azaz a vendéglátás, szabadidős tevékenység szolgáltatást nyújtó munkaadók részére a munkaviszonyban foglalkoztatott személy bruttó munkabére 50 százalékának megfelelő összegű támogatás nyújtható, legfeljebb </w:t>
      </w:r>
      <w:r w:rsidR="00BA1C74">
        <w:rPr>
          <w:shd w:val="clear" w:color="auto" w:fill="FFFFFF"/>
        </w:rPr>
        <w:t xml:space="preserve">bruttó </w:t>
      </w:r>
      <w:r w:rsidR="0075033A" w:rsidRPr="00271989">
        <w:rPr>
          <w:shd w:val="clear" w:color="auto" w:fill="FFFFFF"/>
        </w:rPr>
        <w:t>241</w:t>
      </w:r>
      <w:r w:rsidR="00626470" w:rsidRPr="00271989">
        <w:rPr>
          <w:shd w:val="clear" w:color="auto" w:fill="FFFFFF"/>
        </w:rPr>
        <w:t xml:space="preserve"> 500 Ft-ig.</w:t>
      </w:r>
      <w:r w:rsidR="00626470" w:rsidRPr="00271989">
        <w:rPr>
          <w:color w:val="555555"/>
          <w:shd w:val="clear" w:color="auto" w:fill="FFFFFF"/>
        </w:rPr>
        <w:t xml:space="preserve"> </w:t>
      </w:r>
      <w:r w:rsidR="00626470" w:rsidRPr="00271989">
        <w:t xml:space="preserve">Szálláshely-szolgáltatás főtevékenységgel rendelkező vállalkozások esetében a kérelem 2020. december 10. napjától nyújtható be és 2021. március 10-ig igényelhető a 2020. december 9. napján érvényes munkaszerződésben szereplő bruttó munkabér alapján. Minden más támogatható főtevékenység esetén </w:t>
      </w:r>
      <w:r w:rsidR="00A43846" w:rsidRPr="00271989">
        <w:t xml:space="preserve">a </w:t>
      </w:r>
      <w:r w:rsidR="00626470" w:rsidRPr="00271989">
        <w:t xml:space="preserve">kérelem 2020. november 11. napjától nyújtható be 2021. március 10-ig, a 2020. november 10. napján érvényes munkaszerződésben szereplő bruttó munkabér alapján. </w:t>
      </w:r>
      <w:r w:rsidR="00E75DFB" w:rsidRPr="00271989">
        <w:rPr>
          <w:b/>
        </w:rPr>
        <w:t xml:space="preserve">2020. évben 414 cég nyújtott be kérelmet 8 ágazat területéről 3009 főre, a munkáltatók statisztikai állományi létszáma 6 747 fő volt, az igényelt támogatás nagysága pedig 778 099eFt. 2 656 fő támogatása valósult meg, a megítélt támogatás nagysága 710 553 e Ft volt. </w:t>
      </w:r>
      <w:r w:rsidR="00E75DFB" w:rsidRPr="00271989">
        <w:t>A legtöbb kérelem</w:t>
      </w:r>
      <w:r w:rsidR="00E75DFB" w:rsidRPr="00271989">
        <w:rPr>
          <w:b/>
        </w:rPr>
        <w:t xml:space="preserve"> </w:t>
      </w:r>
      <w:r w:rsidR="00E75DFB" w:rsidRPr="00271989">
        <w:t>a Szálláshely-szolgáltatás, vendéglátás területéről érkezett összesen 2 373 főre, amely az összes létszám 79%-a.</w:t>
      </w:r>
    </w:p>
    <w:p w:rsidR="006E0AD4" w:rsidRPr="00271989" w:rsidRDefault="006E0AD4" w:rsidP="00271989">
      <w:pPr>
        <w:spacing w:before="240" w:after="120"/>
        <w:jc w:val="both"/>
        <w:rPr>
          <w:b/>
          <w:u w:val="single"/>
        </w:rPr>
      </w:pPr>
      <w:r w:rsidRPr="00271989">
        <w:rPr>
          <w:b/>
          <w:u w:val="single"/>
        </w:rPr>
        <w:t>Projektek</w:t>
      </w:r>
    </w:p>
    <w:p w:rsidR="006E0AD4" w:rsidRPr="00271989" w:rsidRDefault="006E0AD4" w:rsidP="00216B07">
      <w:pPr>
        <w:spacing w:after="120"/>
        <w:jc w:val="both"/>
        <w:rPr>
          <w:b/>
        </w:rPr>
      </w:pPr>
      <w:r w:rsidRPr="00271989">
        <w:rPr>
          <w:b/>
        </w:rPr>
        <w:t xml:space="preserve">A GINOP 5.1.1 ”Út a munkaerőpiacra” </w:t>
      </w:r>
      <w:r w:rsidRPr="00271989">
        <w:t xml:space="preserve">kiemelt projekt célja a 25 év feletti álláskeresők és inaktívak, különösen az alacsony iskolai végzettségűek foglalkoztathatóságának javítása, nyílt munkaerőpiaci elhelyezkedésének támogatása, a munkaerőpiaci eszközök hatékonyságának javítása, valamint a közfoglalkoztatásból a versenyszférába való átlépés elősegítése. </w:t>
      </w:r>
      <w:r w:rsidRPr="00271989">
        <w:rPr>
          <w:b/>
        </w:rPr>
        <w:t xml:space="preserve">A programba 2020. </w:t>
      </w:r>
      <w:r w:rsidR="009D7487" w:rsidRPr="00271989">
        <w:rPr>
          <w:b/>
        </w:rPr>
        <w:t>évben</w:t>
      </w:r>
      <w:r w:rsidRPr="00271989">
        <w:rPr>
          <w:b/>
        </w:rPr>
        <w:t xml:space="preserve"> 17</w:t>
      </w:r>
      <w:r w:rsidR="00201F0C" w:rsidRPr="00271989">
        <w:rPr>
          <w:b/>
        </w:rPr>
        <w:t>24</w:t>
      </w:r>
      <w:r w:rsidRPr="00271989">
        <w:rPr>
          <w:b/>
        </w:rPr>
        <w:t xml:space="preserve"> fő került bevonásra, </w:t>
      </w:r>
      <w:r w:rsidRPr="00271989">
        <w:t>amely a tervezett létszámnak közel 3,5-szerese.</w:t>
      </w:r>
      <w:r w:rsidRPr="00271989">
        <w:rPr>
          <w:b/>
          <w:color w:val="FF0000"/>
        </w:rPr>
        <w:t xml:space="preserve"> </w:t>
      </w:r>
      <w:r w:rsidRPr="00271989">
        <w:rPr>
          <w:b/>
        </w:rPr>
        <w:t>A GINOP 5.2.1-14</w:t>
      </w:r>
      <w:r w:rsidRPr="00271989">
        <w:rPr>
          <w:b/>
          <w:bCs/>
        </w:rPr>
        <w:t xml:space="preserve"> </w:t>
      </w:r>
      <w:r w:rsidRPr="00271989">
        <w:rPr>
          <w:b/>
        </w:rPr>
        <w:t>„Ifjúsági Garancia” program</w:t>
      </w:r>
      <w:r w:rsidRPr="00271989">
        <w:t xml:space="preserve"> a 25 év alatti fiatalok munkanélküliségének csökkentését segíti elő.  Az Ifjúsági Garancia lényege, hogy azon 25 év alatti fiatalok számára, akik nem tanulnak, nem dolgoznak, a foglalkoztatási szolgálatnak meghatározott időn belül valamilyen konkrét lehetőséget kell felajánlani az elhelyezkedésre, a munkatapasztalat-szerzésre, vagy a tanulásra. </w:t>
      </w:r>
      <w:r w:rsidRPr="00271989">
        <w:rPr>
          <w:b/>
        </w:rPr>
        <w:t xml:space="preserve">A programból 2020. </w:t>
      </w:r>
      <w:r w:rsidR="00201F0C" w:rsidRPr="00271989">
        <w:rPr>
          <w:b/>
        </w:rPr>
        <w:t>évben</w:t>
      </w:r>
      <w:r w:rsidRPr="00271989">
        <w:rPr>
          <w:b/>
        </w:rPr>
        <w:t xml:space="preserve"> 5</w:t>
      </w:r>
      <w:r w:rsidR="00201F0C" w:rsidRPr="00271989">
        <w:rPr>
          <w:b/>
        </w:rPr>
        <w:t>80</w:t>
      </w:r>
      <w:r w:rsidRPr="00271989">
        <w:rPr>
          <w:b/>
        </w:rPr>
        <w:t xml:space="preserve"> fő támogatása valósult meg, amely a tervezett létszám több mint másfélszerese.</w:t>
      </w:r>
    </w:p>
    <w:p w:rsidR="006E0AD4" w:rsidRPr="00271989" w:rsidRDefault="006E0AD4" w:rsidP="00216B07">
      <w:pPr>
        <w:widowControl w:val="0"/>
        <w:tabs>
          <w:tab w:val="left" w:pos="1500"/>
          <w:tab w:val="left" w:pos="3000"/>
        </w:tabs>
        <w:autoSpaceDE w:val="0"/>
        <w:autoSpaceDN w:val="0"/>
        <w:adjustRightInd w:val="0"/>
        <w:spacing w:after="120"/>
        <w:jc w:val="both"/>
        <w:rPr>
          <w:b/>
        </w:rPr>
      </w:pPr>
      <w:r w:rsidRPr="00271989">
        <w:t xml:space="preserve">A </w:t>
      </w:r>
      <w:r w:rsidRPr="00271989">
        <w:rPr>
          <w:b/>
        </w:rPr>
        <w:t xml:space="preserve">GINOP-5.3.10-17 „A strukturális változásokhoz való alkalmazkodás segítése” megnevezésű projekt </w:t>
      </w:r>
      <w:r w:rsidRPr="00271989">
        <w:t>célja a létszámleépítéssel érintett munkavállalók újbóli elhelyezkedésének – még</w:t>
      </w:r>
      <w:r w:rsidR="003E6611" w:rsidRPr="00271989">
        <w:t xml:space="preserve"> az ál</w:t>
      </w:r>
      <w:r w:rsidRPr="00271989">
        <w:t>láskeresővé válást megelőzően történő – támogatása szolgáltatáson és képzési támogatáson keresztül, valamint a létszámbővítés ösztönzése a munkahelyi betanítás támogatása révén. Továbbá a strukturális vagy technológiai változással érintett munkáltatóknál azon munkavállalók képzésének támogatása, akiknek a munkahelye megtartása érdekében indokolt, valamint a hátrányos helyzetű álláskeresők munkahelyi beilleszkedésének, betanításának támogatása.</w:t>
      </w:r>
      <w:r w:rsidRPr="00271989">
        <w:rPr>
          <w:b/>
        </w:rPr>
        <w:t xml:space="preserve"> A projektbe a 2020. évben 34 fő került bevonásra.</w:t>
      </w:r>
    </w:p>
    <w:p w:rsidR="006E0AD4" w:rsidRPr="00271989" w:rsidRDefault="006E0AD4" w:rsidP="00216B07">
      <w:pPr>
        <w:jc w:val="both"/>
      </w:pPr>
      <w:r w:rsidRPr="00271989">
        <w:lastRenderedPageBreak/>
        <w:t xml:space="preserve">A </w:t>
      </w:r>
      <w:r w:rsidRPr="00271989">
        <w:rPr>
          <w:b/>
          <w:bCs/>
        </w:rPr>
        <w:t>Terület- és Településfejlesztési Operatív Program (TOP)</w:t>
      </w:r>
      <w:r w:rsidRPr="00271989">
        <w:t xml:space="preserve"> keretében létrejött foglalkoztatási Paktumok lehetőséget kaptak olyan képzési és foglalkoztatási programok megvalósítására, amelyek közvetlen és célzott segítséget nyújthatnak a hátrányos helyzetű álláskere</w:t>
      </w:r>
      <w:r w:rsidR="00FC7917" w:rsidRPr="00271989">
        <w:t>sők vagy inaktívak munkaerő</w:t>
      </w:r>
      <w:r w:rsidRPr="00271989">
        <w:t>piacra történő visszajuttatásához, illetve munkába állásához az elsődleges munkaerő-piacon.</w:t>
      </w:r>
    </w:p>
    <w:p w:rsidR="006E0AD4" w:rsidRPr="00271989" w:rsidRDefault="006E0AD4" w:rsidP="00216B07">
      <w:pPr>
        <w:jc w:val="both"/>
      </w:pPr>
      <w:r w:rsidRPr="00271989">
        <w:t xml:space="preserve">A Zala Megyei Önkormányzat által koordinált </w:t>
      </w:r>
      <w:r w:rsidRPr="00271989">
        <w:rPr>
          <w:b/>
          <w:bCs/>
        </w:rPr>
        <w:t>megyei foglalkoztatási paktum</w:t>
      </w:r>
      <w:r w:rsidRPr="00271989">
        <w:t xml:space="preserve"> a megye egészére kiterjedő célokkal és tevékenységekkel működik, segíti a helyi foglalkoztatási és gazdaságfejlesztési kezdeményezéseket, ernyőszervezeti feladatokat lát el, és biztosítja a megyei szintű koordinációt, monitoring tevékenységet végez a helyi paktumok vonatkozásában.</w:t>
      </w:r>
    </w:p>
    <w:p w:rsidR="006E0AD4" w:rsidRPr="00271989" w:rsidRDefault="006E0AD4" w:rsidP="00216B07">
      <w:pPr>
        <w:spacing w:after="120"/>
        <w:jc w:val="both"/>
      </w:pPr>
      <w:r w:rsidRPr="00271989">
        <w:rPr>
          <w:b/>
          <w:lang w:eastAsia="en-US"/>
        </w:rPr>
        <w:t>A TOP foglalkoztatási paktumok</w:t>
      </w:r>
      <w:r w:rsidRPr="00271989">
        <w:rPr>
          <w:lang w:eastAsia="en-US"/>
        </w:rPr>
        <w:t xml:space="preserve"> megvalósítása időarányosan halad</w:t>
      </w:r>
      <w:r w:rsidR="00F0138A" w:rsidRPr="00271989">
        <w:rPr>
          <w:lang w:eastAsia="en-US"/>
        </w:rPr>
        <w:t>t</w:t>
      </w:r>
      <w:r w:rsidRPr="00271989">
        <w:rPr>
          <w:lang w:eastAsia="en-US"/>
        </w:rPr>
        <w:t xml:space="preserve">. A 2020. </w:t>
      </w:r>
      <w:r w:rsidR="00F0138A" w:rsidRPr="00271989">
        <w:rPr>
          <w:lang w:eastAsia="en-US"/>
        </w:rPr>
        <w:t>évben</w:t>
      </w:r>
      <w:r w:rsidRPr="00271989">
        <w:rPr>
          <w:lang w:eastAsia="en-US"/>
        </w:rPr>
        <w:t xml:space="preserve"> összesen </w:t>
      </w:r>
      <w:r w:rsidR="00F0138A" w:rsidRPr="00271989">
        <w:rPr>
          <w:b/>
          <w:lang w:eastAsia="en-US"/>
        </w:rPr>
        <w:t>471</w:t>
      </w:r>
      <w:r w:rsidRPr="00271989">
        <w:rPr>
          <w:b/>
          <w:lang w:eastAsia="en-US"/>
        </w:rPr>
        <w:t xml:space="preserve"> fő került bevonásra</w:t>
      </w:r>
      <w:r w:rsidRPr="00271989">
        <w:rPr>
          <w:lang w:eastAsia="en-US"/>
        </w:rPr>
        <w:t>. A programok i</w:t>
      </w:r>
      <w:r w:rsidR="00F0138A" w:rsidRPr="00271989">
        <w:rPr>
          <w:lang w:eastAsia="en-US"/>
        </w:rPr>
        <w:t>ndikátorszámai kedvezően alakult</w:t>
      </w:r>
      <w:r w:rsidRPr="00271989">
        <w:rPr>
          <w:lang w:eastAsia="en-US"/>
        </w:rPr>
        <w:t xml:space="preserve">ak. A források maximális felhasználása érdekében újabb támogatások vállalásával több paktum hosszabbítása vált szükségessé. </w:t>
      </w:r>
    </w:p>
    <w:p w:rsidR="00271989" w:rsidRPr="0075033A" w:rsidRDefault="006E0AD4" w:rsidP="0075033A">
      <w:pPr>
        <w:jc w:val="both"/>
        <w:rPr>
          <w:color w:val="FF0000"/>
        </w:rPr>
      </w:pPr>
      <w:r w:rsidRPr="00271989">
        <w:t xml:space="preserve">A </w:t>
      </w:r>
      <w:r w:rsidRPr="00271989">
        <w:rPr>
          <w:b/>
          <w:bCs/>
        </w:rPr>
        <w:t xml:space="preserve">GINOP-6.1.1-15 „Alacsony képzettségűek és közfoglalkoztatottak képzése” program </w:t>
      </w:r>
      <w:r w:rsidR="004864CA" w:rsidRPr="00271989">
        <w:t>kitűzött célja</w:t>
      </w:r>
      <w:r w:rsidR="004864CA" w:rsidRPr="00271989">
        <w:rPr>
          <w:color w:val="FF0000"/>
        </w:rPr>
        <w:t xml:space="preserve"> </w:t>
      </w:r>
      <w:r w:rsidR="004864CA" w:rsidRPr="00271989">
        <w:t xml:space="preserve">2022. december 31-ig 2845 fő képzésbe vonása, melyből 2664 fő teljesült (93,6%). </w:t>
      </w:r>
      <w:r w:rsidR="004864CA" w:rsidRPr="00271989">
        <w:rPr>
          <w:color w:val="FF0000"/>
        </w:rPr>
        <w:t xml:space="preserve"> </w:t>
      </w:r>
      <w:r w:rsidR="004864CA" w:rsidRPr="00271989">
        <w:t xml:space="preserve">2020. évben összesen 57 fő került </w:t>
      </w:r>
      <w:r w:rsidR="00AE5F55" w:rsidRPr="00271989">
        <w:t>képzésbe a projekt keretében</w:t>
      </w:r>
      <w:r w:rsidR="004864CA" w:rsidRPr="00271989">
        <w:t>, egy Erdőművelő tanfolyam indult 17 fővel, egy Szállodai szobaasszony tanfolyam szintén 17 fővel, valamint egy Földmunkagép-kezelő képzés 22 fővel és további 1 fő csatlakozott januárban a 2019. decemberben indított Cukrász tanfolyamhoz.</w:t>
      </w:r>
      <w:r w:rsidR="004864CA" w:rsidRPr="00271989">
        <w:rPr>
          <w:color w:val="FF0000"/>
        </w:rPr>
        <w:t xml:space="preserve"> </w:t>
      </w:r>
    </w:p>
    <w:p w:rsidR="006E0AD4" w:rsidRPr="00271989" w:rsidRDefault="006E0AD4" w:rsidP="0075033A">
      <w:pPr>
        <w:spacing w:before="120" w:after="120"/>
        <w:rPr>
          <w:b/>
          <w:lang w:eastAsia="en-US"/>
        </w:rPr>
      </w:pPr>
      <w:r w:rsidRPr="00271989">
        <w:rPr>
          <w:b/>
          <w:lang w:eastAsia="en-US"/>
        </w:rPr>
        <w:t>Uniós programok bevonási létszámainak alakulása 2020. évben</w:t>
      </w:r>
    </w:p>
    <w:tbl>
      <w:tblPr>
        <w:tblW w:w="9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87"/>
        <w:gridCol w:w="1276"/>
        <w:gridCol w:w="1276"/>
        <w:gridCol w:w="1417"/>
        <w:gridCol w:w="1701"/>
        <w:gridCol w:w="1368"/>
      </w:tblGrid>
      <w:tr w:rsidR="006E0AD4" w:rsidRPr="00271989" w:rsidTr="00271989">
        <w:trPr>
          <w:trHeight w:val="243"/>
          <w:jc w:val="center"/>
        </w:trPr>
        <w:tc>
          <w:tcPr>
            <w:tcW w:w="2787" w:type="dxa"/>
            <w:vMerge w:val="restart"/>
          </w:tcPr>
          <w:p w:rsidR="006E0AD4" w:rsidRPr="00271989" w:rsidRDefault="006E0AD4" w:rsidP="006E0AD4">
            <w:pPr>
              <w:jc w:val="both"/>
            </w:pPr>
          </w:p>
          <w:p w:rsidR="006E0AD4" w:rsidRPr="00271989" w:rsidRDefault="006E0AD4" w:rsidP="006E0AD4">
            <w:pPr>
              <w:jc w:val="both"/>
              <w:rPr>
                <w:b/>
              </w:rPr>
            </w:pPr>
          </w:p>
        </w:tc>
        <w:tc>
          <w:tcPr>
            <w:tcW w:w="7038" w:type="dxa"/>
            <w:gridSpan w:val="5"/>
          </w:tcPr>
          <w:p w:rsidR="006E0AD4" w:rsidRPr="00271989" w:rsidRDefault="006E0AD4" w:rsidP="004864CA">
            <w:pPr>
              <w:jc w:val="center"/>
              <w:rPr>
                <w:b/>
              </w:rPr>
            </w:pPr>
            <w:r w:rsidRPr="00271989">
              <w:rPr>
                <w:b/>
              </w:rPr>
              <w:t xml:space="preserve">Belépők száma 2020. </w:t>
            </w:r>
            <w:r w:rsidR="004864CA" w:rsidRPr="00271989">
              <w:rPr>
                <w:b/>
              </w:rPr>
              <w:t>év</w:t>
            </w:r>
            <w:r w:rsidRPr="00271989">
              <w:rPr>
                <w:b/>
              </w:rPr>
              <w:t xml:space="preserve"> (fő)</w:t>
            </w:r>
          </w:p>
        </w:tc>
      </w:tr>
      <w:tr w:rsidR="006E0AD4" w:rsidRPr="00271989" w:rsidTr="00271989">
        <w:trPr>
          <w:trHeight w:val="773"/>
          <w:jc w:val="center"/>
        </w:trPr>
        <w:tc>
          <w:tcPr>
            <w:tcW w:w="2787" w:type="dxa"/>
            <w:vMerge/>
          </w:tcPr>
          <w:p w:rsidR="006E0AD4" w:rsidRPr="00271989" w:rsidRDefault="006E0AD4" w:rsidP="006E0AD4">
            <w:pPr>
              <w:jc w:val="both"/>
            </w:pPr>
          </w:p>
        </w:tc>
        <w:tc>
          <w:tcPr>
            <w:tcW w:w="1276" w:type="dxa"/>
            <w:vAlign w:val="center"/>
          </w:tcPr>
          <w:p w:rsidR="006E0AD4" w:rsidRPr="00271989" w:rsidRDefault="006E0AD4" w:rsidP="004864CA">
            <w:pPr>
              <w:jc w:val="center"/>
              <w:rPr>
                <w:b/>
                <w:sz w:val="18"/>
                <w:szCs w:val="18"/>
              </w:rPr>
            </w:pPr>
            <w:r w:rsidRPr="00271989">
              <w:rPr>
                <w:b/>
                <w:sz w:val="18"/>
                <w:szCs w:val="18"/>
              </w:rPr>
              <w:t>GINOP-5.1.1 „Út a munkaerő-piacra„ program</w:t>
            </w:r>
          </w:p>
        </w:tc>
        <w:tc>
          <w:tcPr>
            <w:tcW w:w="1276" w:type="dxa"/>
            <w:vAlign w:val="center"/>
          </w:tcPr>
          <w:p w:rsidR="006E0AD4" w:rsidRPr="00271989" w:rsidRDefault="006E0AD4" w:rsidP="004864CA">
            <w:pPr>
              <w:jc w:val="center"/>
              <w:rPr>
                <w:b/>
                <w:sz w:val="18"/>
                <w:szCs w:val="18"/>
              </w:rPr>
            </w:pPr>
            <w:r w:rsidRPr="00271989">
              <w:rPr>
                <w:b/>
                <w:sz w:val="18"/>
                <w:szCs w:val="18"/>
              </w:rPr>
              <w:t>GINOP-5.2.1 „Ifjúsági Garancia” program</w:t>
            </w:r>
          </w:p>
        </w:tc>
        <w:tc>
          <w:tcPr>
            <w:tcW w:w="1417" w:type="dxa"/>
            <w:vAlign w:val="center"/>
          </w:tcPr>
          <w:p w:rsidR="006E0AD4" w:rsidRPr="00271989" w:rsidRDefault="006E0AD4" w:rsidP="004864CA">
            <w:pPr>
              <w:jc w:val="center"/>
              <w:rPr>
                <w:b/>
                <w:sz w:val="18"/>
                <w:szCs w:val="18"/>
              </w:rPr>
            </w:pPr>
            <w:r w:rsidRPr="00271989">
              <w:rPr>
                <w:b/>
                <w:sz w:val="18"/>
                <w:szCs w:val="18"/>
              </w:rPr>
              <w:t>TOP foglalkoz-tatási megállapo-dások</w:t>
            </w:r>
          </w:p>
        </w:tc>
        <w:tc>
          <w:tcPr>
            <w:tcW w:w="1701" w:type="dxa"/>
            <w:vAlign w:val="center"/>
          </w:tcPr>
          <w:p w:rsidR="006E0AD4" w:rsidRPr="00271989" w:rsidRDefault="006E0AD4" w:rsidP="004864CA">
            <w:pPr>
              <w:jc w:val="center"/>
              <w:rPr>
                <w:b/>
                <w:sz w:val="18"/>
                <w:szCs w:val="18"/>
              </w:rPr>
            </w:pPr>
            <w:r w:rsidRPr="00271989">
              <w:rPr>
                <w:b/>
                <w:sz w:val="18"/>
                <w:szCs w:val="18"/>
              </w:rPr>
              <w:t>GINOP-5.3.10-17 „A strukturális változásokhoz való alkalmazkodás segítése” projekt</w:t>
            </w:r>
          </w:p>
        </w:tc>
        <w:tc>
          <w:tcPr>
            <w:tcW w:w="1368" w:type="dxa"/>
            <w:vAlign w:val="center"/>
          </w:tcPr>
          <w:p w:rsidR="006E0AD4" w:rsidRPr="00271989" w:rsidRDefault="006E0AD4" w:rsidP="004864CA">
            <w:pPr>
              <w:jc w:val="center"/>
              <w:rPr>
                <w:b/>
                <w:sz w:val="18"/>
                <w:szCs w:val="18"/>
              </w:rPr>
            </w:pPr>
            <w:r w:rsidRPr="00271989">
              <w:rPr>
                <w:b/>
                <w:bCs/>
                <w:sz w:val="18"/>
                <w:szCs w:val="18"/>
              </w:rPr>
              <w:t>GINOP-6.1.1-15 „Alacsony képzettségűek és közfoglalkoztatottak képzése” program</w:t>
            </w:r>
          </w:p>
        </w:tc>
      </w:tr>
      <w:tr w:rsidR="004864CA" w:rsidRPr="00271989" w:rsidTr="00271989">
        <w:trPr>
          <w:trHeight w:val="408"/>
          <w:jc w:val="center"/>
        </w:trPr>
        <w:tc>
          <w:tcPr>
            <w:tcW w:w="2787" w:type="dxa"/>
            <w:vAlign w:val="center"/>
          </w:tcPr>
          <w:p w:rsidR="004864CA" w:rsidRPr="00271989" w:rsidRDefault="004864CA" w:rsidP="006E0AD4">
            <w:pPr>
              <w:jc w:val="both"/>
              <w:rPr>
                <w:sz w:val="20"/>
                <w:szCs w:val="20"/>
              </w:rPr>
            </w:pPr>
            <w:r w:rsidRPr="00271989">
              <w:rPr>
                <w:sz w:val="20"/>
                <w:szCs w:val="20"/>
              </w:rPr>
              <w:t>Bérjellegű támogatás</w:t>
            </w:r>
          </w:p>
        </w:tc>
        <w:tc>
          <w:tcPr>
            <w:tcW w:w="1276" w:type="dxa"/>
            <w:vAlign w:val="center"/>
          </w:tcPr>
          <w:p w:rsidR="004864CA" w:rsidRPr="00271989" w:rsidRDefault="004864CA" w:rsidP="004864CA">
            <w:pPr>
              <w:pStyle w:val="NormlWeb"/>
              <w:spacing w:line="276" w:lineRule="auto"/>
              <w:jc w:val="center"/>
            </w:pPr>
            <w:r w:rsidRPr="00271989">
              <w:t>1571</w:t>
            </w:r>
          </w:p>
        </w:tc>
        <w:tc>
          <w:tcPr>
            <w:tcW w:w="1276" w:type="dxa"/>
            <w:vAlign w:val="center"/>
          </w:tcPr>
          <w:p w:rsidR="004864CA" w:rsidRPr="00271989" w:rsidRDefault="004864CA" w:rsidP="004864CA">
            <w:pPr>
              <w:pStyle w:val="NormlWeb"/>
              <w:spacing w:line="276" w:lineRule="auto"/>
              <w:jc w:val="center"/>
            </w:pPr>
            <w:r w:rsidRPr="00271989">
              <w:t>525</w:t>
            </w:r>
          </w:p>
        </w:tc>
        <w:tc>
          <w:tcPr>
            <w:tcW w:w="1417" w:type="dxa"/>
            <w:vAlign w:val="center"/>
          </w:tcPr>
          <w:p w:rsidR="004864CA" w:rsidRPr="00271989" w:rsidRDefault="004864CA" w:rsidP="003E2390">
            <w:pPr>
              <w:pStyle w:val="NormlWeb"/>
              <w:spacing w:line="276" w:lineRule="auto"/>
              <w:jc w:val="center"/>
            </w:pPr>
            <w:r w:rsidRPr="00271989">
              <w:t>322</w:t>
            </w:r>
          </w:p>
        </w:tc>
        <w:tc>
          <w:tcPr>
            <w:tcW w:w="1701" w:type="dxa"/>
            <w:vAlign w:val="center"/>
          </w:tcPr>
          <w:p w:rsidR="004864CA" w:rsidRPr="00271989" w:rsidRDefault="004864CA" w:rsidP="004864CA">
            <w:pPr>
              <w:jc w:val="center"/>
              <w:rPr>
                <w:kern w:val="24"/>
              </w:rPr>
            </w:pPr>
            <w:r w:rsidRPr="00271989">
              <w:rPr>
                <w:kern w:val="24"/>
              </w:rPr>
              <w:t>0</w:t>
            </w:r>
          </w:p>
        </w:tc>
        <w:tc>
          <w:tcPr>
            <w:tcW w:w="1368" w:type="dxa"/>
            <w:vAlign w:val="center"/>
          </w:tcPr>
          <w:p w:rsidR="004864CA" w:rsidRPr="00271989" w:rsidRDefault="004864CA" w:rsidP="004864CA">
            <w:pPr>
              <w:jc w:val="center"/>
            </w:pPr>
            <w:r w:rsidRPr="00271989">
              <w:t>0</w:t>
            </w:r>
          </w:p>
        </w:tc>
      </w:tr>
      <w:tr w:rsidR="004864CA" w:rsidRPr="00271989" w:rsidTr="00271989">
        <w:trPr>
          <w:jc w:val="center"/>
        </w:trPr>
        <w:tc>
          <w:tcPr>
            <w:tcW w:w="2787" w:type="dxa"/>
            <w:vAlign w:val="center"/>
          </w:tcPr>
          <w:p w:rsidR="004864CA" w:rsidRPr="00271989" w:rsidRDefault="004864CA" w:rsidP="006E0AD4">
            <w:pPr>
              <w:jc w:val="both"/>
              <w:rPr>
                <w:sz w:val="20"/>
                <w:szCs w:val="20"/>
              </w:rPr>
            </w:pPr>
            <w:r w:rsidRPr="00271989">
              <w:rPr>
                <w:sz w:val="20"/>
                <w:szCs w:val="20"/>
              </w:rPr>
              <w:t>Vállalkozóvá válási támogatás</w:t>
            </w:r>
          </w:p>
        </w:tc>
        <w:tc>
          <w:tcPr>
            <w:tcW w:w="1276" w:type="dxa"/>
            <w:vAlign w:val="center"/>
          </w:tcPr>
          <w:p w:rsidR="004864CA" w:rsidRPr="00271989" w:rsidRDefault="004864CA" w:rsidP="004864CA">
            <w:pPr>
              <w:pStyle w:val="NormlWeb"/>
              <w:spacing w:line="276" w:lineRule="auto"/>
              <w:jc w:val="center"/>
            </w:pPr>
            <w:r w:rsidRPr="00271989">
              <w:t>103</w:t>
            </w:r>
          </w:p>
        </w:tc>
        <w:tc>
          <w:tcPr>
            <w:tcW w:w="1276" w:type="dxa"/>
            <w:vAlign w:val="center"/>
          </w:tcPr>
          <w:p w:rsidR="004864CA" w:rsidRPr="00271989" w:rsidRDefault="004864CA" w:rsidP="004864CA">
            <w:pPr>
              <w:pStyle w:val="NormlWeb"/>
              <w:spacing w:line="276" w:lineRule="auto"/>
              <w:jc w:val="center"/>
            </w:pPr>
            <w:r w:rsidRPr="00271989">
              <w:t>16</w:t>
            </w:r>
          </w:p>
        </w:tc>
        <w:tc>
          <w:tcPr>
            <w:tcW w:w="1417" w:type="dxa"/>
            <w:vAlign w:val="center"/>
          </w:tcPr>
          <w:p w:rsidR="004864CA" w:rsidRPr="00271989" w:rsidRDefault="004864CA" w:rsidP="003E2390">
            <w:pPr>
              <w:pStyle w:val="NormlWeb"/>
              <w:spacing w:line="276" w:lineRule="auto"/>
              <w:jc w:val="center"/>
            </w:pPr>
            <w:r w:rsidRPr="00271989">
              <w:t>34</w:t>
            </w:r>
          </w:p>
        </w:tc>
        <w:tc>
          <w:tcPr>
            <w:tcW w:w="1701" w:type="dxa"/>
            <w:vAlign w:val="center"/>
          </w:tcPr>
          <w:p w:rsidR="004864CA" w:rsidRPr="00271989" w:rsidRDefault="004864CA" w:rsidP="004864CA">
            <w:pPr>
              <w:jc w:val="center"/>
              <w:rPr>
                <w:kern w:val="24"/>
              </w:rPr>
            </w:pPr>
            <w:r w:rsidRPr="00271989">
              <w:rPr>
                <w:kern w:val="24"/>
              </w:rPr>
              <w:t>0</w:t>
            </w:r>
          </w:p>
        </w:tc>
        <w:tc>
          <w:tcPr>
            <w:tcW w:w="1368" w:type="dxa"/>
            <w:vAlign w:val="center"/>
          </w:tcPr>
          <w:p w:rsidR="004864CA" w:rsidRPr="00271989" w:rsidRDefault="004864CA" w:rsidP="004864CA">
            <w:pPr>
              <w:jc w:val="center"/>
            </w:pPr>
            <w:r w:rsidRPr="00271989">
              <w:t>0</w:t>
            </w:r>
          </w:p>
        </w:tc>
      </w:tr>
      <w:tr w:rsidR="004864CA" w:rsidRPr="00271989" w:rsidTr="00271989">
        <w:trPr>
          <w:jc w:val="center"/>
        </w:trPr>
        <w:tc>
          <w:tcPr>
            <w:tcW w:w="2787" w:type="dxa"/>
            <w:vAlign w:val="center"/>
          </w:tcPr>
          <w:p w:rsidR="004864CA" w:rsidRPr="00271989" w:rsidRDefault="004864CA" w:rsidP="006E0AD4">
            <w:pPr>
              <w:jc w:val="both"/>
              <w:rPr>
                <w:sz w:val="20"/>
                <w:szCs w:val="20"/>
              </w:rPr>
            </w:pPr>
            <w:r w:rsidRPr="00271989">
              <w:rPr>
                <w:sz w:val="20"/>
                <w:szCs w:val="20"/>
              </w:rPr>
              <w:t>Képzési támogatás</w:t>
            </w:r>
          </w:p>
        </w:tc>
        <w:tc>
          <w:tcPr>
            <w:tcW w:w="1276" w:type="dxa"/>
            <w:vAlign w:val="center"/>
          </w:tcPr>
          <w:p w:rsidR="004864CA" w:rsidRPr="00271989" w:rsidRDefault="004864CA" w:rsidP="004864CA">
            <w:pPr>
              <w:pStyle w:val="NormlWeb"/>
              <w:spacing w:line="276" w:lineRule="auto"/>
              <w:jc w:val="center"/>
            </w:pPr>
            <w:r w:rsidRPr="00271989">
              <w:t>50</w:t>
            </w:r>
          </w:p>
        </w:tc>
        <w:tc>
          <w:tcPr>
            <w:tcW w:w="1276" w:type="dxa"/>
            <w:vAlign w:val="center"/>
          </w:tcPr>
          <w:p w:rsidR="004864CA" w:rsidRPr="00271989" w:rsidRDefault="004864CA" w:rsidP="004864CA">
            <w:pPr>
              <w:pStyle w:val="NormlWeb"/>
              <w:spacing w:line="276" w:lineRule="auto"/>
              <w:jc w:val="center"/>
            </w:pPr>
            <w:r w:rsidRPr="00271989">
              <w:t>37</w:t>
            </w:r>
          </w:p>
        </w:tc>
        <w:tc>
          <w:tcPr>
            <w:tcW w:w="1417" w:type="dxa"/>
            <w:vAlign w:val="center"/>
          </w:tcPr>
          <w:p w:rsidR="004864CA" w:rsidRPr="00271989" w:rsidRDefault="004864CA" w:rsidP="003E2390">
            <w:pPr>
              <w:pStyle w:val="NormlWeb"/>
              <w:spacing w:line="276" w:lineRule="auto"/>
              <w:jc w:val="center"/>
            </w:pPr>
            <w:r w:rsidRPr="00271989">
              <w:t>30</w:t>
            </w:r>
          </w:p>
        </w:tc>
        <w:tc>
          <w:tcPr>
            <w:tcW w:w="1701" w:type="dxa"/>
            <w:vAlign w:val="center"/>
          </w:tcPr>
          <w:p w:rsidR="004864CA" w:rsidRPr="00271989" w:rsidRDefault="004864CA" w:rsidP="004864CA">
            <w:pPr>
              <w:jc w:val="center"/>
              <w:rPr>
                <w:kern w:val="24"/>
              </w:rPr>
            </w:pPr>
            <w:r w:rsidRPr="00271989">
              <w:rPr>
                <w:kern w:val="24"/>
              </w:rPr>
              <w:t>1</w:t>
            </w:r>
          </w:p>
        </w:tc>
        <w:tc>
          <w:tcPr>
            <w:tcW w:w="1368" w:type="dxa"/>
            <w:vAlign w:val="center"/>
          </w:tcPr>
          <w:p w:rsidR="004864CA" w:rsidRPr="00271989" w:rsidRDefault="004864CA" w:rsidP="004864CA">
            <w:pPr>
              <w:jc w:val="center"/>
            </w:pPr>
            <w:r w:rsidRPr="00271989">
              <w:t>57</w:t>
            </w:r>
          </w:p>
        </w:tc>
      </w:tr>
      <w:tr w:rsidR="004864CA" w:rsidRPr="00271989" w:rsidTr="00271989">
        <w:trPr>
          <w:jc w:val="center"/>
        </w:trPr>
        <w:tc>
          <w:tcPr>
            <w:tcW w:w="2787" w:type="dxa"/>
            <w:vAlign w:val="center"/>
          </w:tcPr>
          <w:p w:rsidR="004864CA" w:rsidRPr="00271989" w:rsidRDefault="004864CA" w:rsidP="006E0AD4">
            <w:pPr>
              <w:jc w:val="both"/>
              <w:rPr>
                <w:sz w:val="20"/>
                <w:szCs w:val="20"/>
              </w:rPr>
            </w:pPr>
            <w:r w:rsidRPr="00271989">
              <w:rPr>
                <w:sz w:val="20"/>
                <w:szCs w:val="20"/>
              </w:rPr>
              <w:t>Szolgáltatás</w:t>
            </w:r>
          </w:p>
        </w:tc>
        <w:tc>
          <w:tcPr>
            <w:tcW w:w="1276" w:type="dxa"/>
            <w:vAlign w:val="center"/>
          </w:tcPr>
          <w:p w:rsidR="004864CA" w:rsidRPr="00271989" w:rsidRDefault="004864CA" w:rsidP="004864CA">
            <w:pPr>
              <w:pStyle w:val="NormlWeb"/>
              <w:spacing w:line="276" w:lineRule="auto"/>
              <w:jc w:val="center"/>
            </w:pPr>
            <w:r w:rsidRPr="00271989">
              <w:t>0</w:t>
            </w:r>
          </w:p>
        </w:tc>
        <w:tc>
          <w:tcPr>
            <w:tcW w:w="1276" w:type="dxa"/>
            <w:vAlign w:val="center"/>
          </w:tcPr>
          <w:p w:rsidR="004864CA" w:rsidRPr="00271989" w:rsidRDefault="004864CA" w:rsidP="004864CA">
            <w:pPr>
              <w:pStyle w:val="NormlWeb"/>
              <w:spacing w:line="276" w:lineRule="auto"/>
              <w:jc w:val="center"/>
            </w:pPr>
            <w:r w:rsidRPr="00271989">
              <w:t>0</w:t>
            </w:r>
          </w:p>
        </w:tc>
        <w:tc>
          <w:tcPr>
            <w:tcW w:w="1417" w:type="dxa"/>
            <w:vAlign w:val="center"/>
          </w:tcPr>
          <w:p w:rsidR="004864CA" w:rsidRPr="00271989" w:rsidRDefault="004864CA" w:rsidP="003E2390">
            <w:pPr>
              <w:pStyle w:val="NormlWeb"/>
              <w:spacing w:line="276" w:lineRule="auto"/>
              <w:jc w:val="center"/>
            </w:pPr>
            <w:r w:rsidRPr="00271989">
              <w:t>91</w:t>
            </w:r>
          </w:p>
        </w:tc>
        <w:tc>
          <w:tcPr>
            <w:tcW w:w="1701" w:type="dxa"/>
            <w:vAlign w:val="center"/>
          </w:tcPr>
          <w:p w:rsidR="004864CA" w:rsidRPr="00271989" w:rsidRDefault="004864CA" w:rsidP="004864CA">
            <w:pPr>
              <w:jc w:val="center"/>
              <w:rPr>
                <w:kern w:val="24"/>
              </w:rPr>
            </w:pPr>
            <w:r w:rsidRPr="00271989">
              <w:rPr>
                <w:kern w:val="24"/>
              </w:rPr>
              <w:t>33</w:t>
            </w:r>
          </w:p>
        </w:tc>
        <w:tc>
          <w:tcPr>
            <w:tcW w:w="1368" w:type="dxa"/>
            <w:vAlign w:val="center"/>
          </w:tcPr>
          <w:p w:rsidR="004864CA" w:rsidRPr="00271989" w:rsidRDefault="004864CA" w:rsidP="004864CA">
            <w:pPr>
              <w:jc w:val="center"/>
            </w:pPr>
            <w:r w:rsidRPr="00271989">
              <w:t>0</w:t>
            </w:r>
          </w:p>
        </w:tc>
      </w:tr>
      <w:tr w:rsidR="004864CA" w:rsidRPr="00271989" w:rsidTr="00271989">
        <w:trPr>
          <w:jc w:val="center"/>
        </w:trPr>
        <w:tc>
          <w:tcPr>
            <w:tcW w:w="2787" w:type="dxa"/>
            <w:vAlign w:val="center"/>
          </w:tcPr>
          <w:p w:rsidR="004864CA" w:rsidRPr="00271989" w:rsidRDefault="004864CA" w:rsidP="006E0AD4">
            <w:pPr>
              <w:jc w:val="both"/>
              <w:rPr>
                <w:sz w:val="20"/>
                <w:szCs w:val="20"/>
              </w:rPr>
            </w:pPr>
            <w:r w:rsidRPr="00271989">
              <w:rPr>
                <w:sz w:val="20"/>
                <w:szCs w:val="20"/>
              </w:rPr>
              <w:t>Egyéb támogatások</w:t>
            </w:r>
          </w:p>
        </w:tc>
        <w:tc>
          <w:tcPr>
            <w:tcW w:w="1276" w:type="dxa"/>
            <w:vAlign w:val="center"/>
          </w:tcPr>
          <w:p w:rsidR="004864CA" w:rsidRPr="00271989" w:rsidRDefault="004864CA" w:rsidP="004864CA">
            <w:pPr>
              <w:pStyle w:val="NormlWeb"/>
              <w:spacing w:line="276" w:lineRule="auto"/>
              <w:jc w:val="center"/>
            </w:pPr>
            <w:r w:rsidRPr="00271989">
              <w:t>1</w:t>
            </w:r>
          </w:p>
        </w:tc>
        <w:tc>
          <w:tcPr>
            <w:tcW w:w="1276" w:type="dxa"/>
            <w:vAlign w:val="center"/>
          </w:tcPr>
          <w:p w:rsidR="004864CA" w:rsidRPr="00271989" w:rsidRDefault="004864CA" w:rsidP="004864CA">
            <w:pPr>
              <w:pStyle w:val="NormlWeb"/>
              <w:spacing w:line="276" w:lineRule="auto"/>
              <w:jc w:val="center"/>
            </w:pPr>
            <w:r w:rsidRPr="00271989">
              <w:t>2</w:t>
            </w:r>
          </w:p>
        </w:tc>
        <w:tc>
          <w:tcPr>
            <w:tcW w:w="1417" w:type="dxa"/>
            <w:vAlign w:val="center"/>
          </w:tcPr>
          <w:p w:rsidR="004864CA" w:rsidRPr="00271989" w:rsidRDefault="004864CA" w:rsidP="003E2390">
            <w:pPr>
              <w:pStyle w:val="NormlWeb"/>
              <w:spacing w:line="276" w:lineRule="auto"/>
              <w:jc w:val="center"/>
            </w:pPr>
            <w:r w:rsidRPr="00271989">
              <w:t>0</w:t>
            </w:r>
          </w:p>
        </w:tc>
        <w:tc>
          <w:tcPr>
            <w:tcW w:w="1701" w:type="dxa"/>
            <w:vAlign w:val="center"/>
          </w:tcPr>
          <w:p w:rsidR="004864CA" w:rsidRPr="00271989" w:rsidRDefault="004864CA" w:rsidP="004864CA">
            <w:pPr>
              <w:jc w:val="center"/>
              <w:rPr>
                <w:kern w:val="24"/>
              </w:rPr>
            </w:pPr>
            <w:r w:rsidRPr="00271989">
              <w:rPr>
                <w:kern w:val="24"/>
              </w:rPr>
              <w:t>0</w:t>
            </w:r>
          </w:p>
        </w:tc>
        <w:tc>
          <w:tcPr>
            <w:tcW w:w="1368" w:type="dxa"/>
            <w:vAlign w:val="center"/>
          </w:tcPr>
          <w:p w:rsidR="004864CA" w:rsidRPr="00271989" w:rsidRDefault="004864CA" w:rsidP="004864CA">
            <w:pPr>
              <w:jc w:val="center"/>
            </w:pPr>
            <w:r w:rsidRPr="00271989">
              <w:t>0</w:t>
            </w:r>
          </w:p>
        </w:tc>
      </w:tr>
      <w:tr w:rsidR="004864CA" w:rsidRPr="00271989" w:rsidTr="00271989">
        <w:trPr>
          <w:jc w:val="center"/>
        </w:trPr>
        <w:tc>
          <w:tcPr>
            <w:tcW w:w="2787" w:type="dxa"/>
            <w:vAlign w:val="center"/>
          </w:tcPr>
          <w:p w:rsidR="004864CA" w:rsidRPr="00271989" w:rsidRDefault="004864CA" w:rsidP="006E0AD4">
            <w:pPr>
              <w:jc w:val="both"/>
              <w:rPr>
                <w:b/>
                <w:sz w:val="20"/>
                <w:szCs w:val="20"/>
              </w:rPr>
            </w:pPr>
            <w:r w:rsidRPr="00271989">
              <w:rPr>
                <w:b/>
                <w:sz w:val="20"/>
                <w:szCs w:val="20"/>
              </w:rPr>
              <w:t>Összes bevont személy</w:t>
            </w:r>
          </w:p>
        </w:tc>
        <w:tc>
          <w:tcPr>
            <w:tcW w:w="1276" w:type="dxa"/>
            <w:vAlign w:val="center"/>
          </w:tcPr>
          <w:p w:rsidR="004864CA" w:rsidRPr="00271989" w:rsidRDefault="004864CA" w:rsidP="004864CA">
            <w:pPr>
              <w:pStyle w:val="NormlWeb"/>
              <w:spacing w:line="276" w:lineRule="auto"/>
              <w:jc w:val="center"/>
              <w:rPr>
                <w:b/>
              </w:rPr>
            </w:pPr>
            <w:r w:rsidRPr="00271989">
              <w:rPr>
                <w:b/>
              </w:rPr>
              <w:t>1724</w:t>
            </w:r>
          </w:p>
        </w:tc>
        <w:tc>
          <w:tcPr>
            <w:tcW w:w="1276" w:type="dxa"/>
            <w:vAlign w:val="center"/>
          </w:tcPr>
          <w:p w:rsidR="004864CA" w:rsidRPr="00271989" w:rsidRDefault="004864CA" w:rsidP="004864CA">
            <w:pPr>
              <w:pStyle w:val="NormlWeb"/>
              <w:spacing w:line="276" w:lineRule="auto"/>
              <w:jc w:val="center"/>
              <w:rPr>
                <w:b/>
              </w:rPr>
            </w:pPr>
            <w:r w:rsidRPr="00271989">
              <w:rPr>
                <w:b/>
              </w:rPr>
              <w:t>580</w:t>
            </w:r>
          </w:p>
        </w:tc>
        <w:tc>
          <w:tcPr>
            <w:tcW w:w="1417" w:type="dxa"/>
            <w:vAlign w:val="center"/>
          </w:tcPr>
          <w:p w:rsidR="004864CA" w:rsidRPr="00271989" w:rsidRDefault="004864CA" w:rsidP="003E2390">
            <w:pPr>
              <w:pStyle w:val="NormlWeb"/>
              <w:spacing w:line="276" w:lineRule="auto"/>
              <w:jc w:val="center"/>
              <w:rPr>
                <w:b/>
              </w:rPr>
            </w:pPr>
            <w:r w:rsidRPr="00271989">
              <w:rPr>
                <w:b/>
              </w:rPr>
              <w:t>471</w:t>
            </w:r>
          </w:p>
        </w:tc>
        <w:tc>
          <w:tcPr>
            <w:tcW w:w="1701" w:type="dxa"/>
            <w:vAlign w:val="center"/>
          </w:tcPr>
          <w:p w:rsidR="004864CA" w:rsidRPr="00271989" w:rsidRDefault="004864CA" w:rsidP="004864CA">
            <w:pPr>
              <w:jc w:val="center"/>
              <w:rPr>
                <w:b/>
                <w:bCs/>
                <w:kern w:val="24"/>
              </w:rPr>
            </w:pPr>
            <w:r w:rsidRPr="00271989">
              <w:rPr>
                <w:b/>
                <w:bCs/>
                <w:kern w:val="24"/>
              </w:rPr>
              <w:t>34</w:t>
            </w:r>
          </w:p>
        </w:tc>
        <w:tc>
          <w:tcPr>
            <w:tcW w:w="1368" w:type="dxa"/>
            <w:vAlign w:val="center"/>
          </w:tcPr>
          <w:p w:rsidR="004864CA" w:rsidRPr="00271989" w:rsidRDefault="004864CA" w:rsidP="004864CA">
            <w:pPr>
              <w:jc w:val="center"/>
              <w:rPr>
                <w:b/>
              </w:rPr>
            </w:pPr>
            <w:r w:rsidRPr="00271989">
              <w:rPr>
                <w:b/>
              </w:rPr>
              <w:t>57</w:t>
            </w:r>
          </w:p>
        </w:tc>
      </w:tr>
      <w:tr w:rsidR="004864CA" w:rsidRPr="00271989" w:rsidTr="00271989">
        <w:trPr>
          <w:jc w:val="center"/>
        </w:trPr>
        <w:tc>
          <w:tcPr>
            <w:tcW w:w="2787" w:type="dxa"/>
            <w:vAlign w:val="center"/>
          </w:tcPr>
          <w:p w:rsidR="004864CA" w:rsidRPr="00271989" w:rsidRDefault="004864CA" w:rsidP="006E0AD4">
            <w:pPr>
              <w:jc w:val="both"/>
              <w:rPr>
                <w:b/>
                <w:sz w:val="20"/>
                <w:szCs w:val="20"/>
              </w:rPr>
            </w:pPr>
            <w:r w:rsidRPr="00271989">
              <w:rPr>
                <w:b/>
                <w:sz w:val="20"/>
                <w:szCs w:val="20"/>
              </w:rPr>
              <w:t>Tervezett bevonási létszám 2020. év</w:t>
            </w:r>
          </w:p>
        </w:tc>
        <w:tc>
          <w:tcPr>
            <w:tcW w:w="1276" w:type="dxa"/>
            <w:vAlign w:val="center"/>
          </w:tcPr>
          <w:p w:rsidR="004864CA" w:rsidRPr="00271989" w:rsidRDefault="004864CA" w:rsidP="004864CA">
            <w:pPr>
              <w:pStyle w:val="NormlWeb"/>
              <w:spacing w:line="276" w:lineRule="auto"/>
              <w:jc w:val="center"/>
            </w:pPr>
            <w:r w:rsidRPr="00271989">
              <w:rPr>
                <w:kern w:val="24"/>
              </w:rPr>
              <w:t>500</w:t>
            </w:r>
          </w:p>
        </w:tc>
        <w:tc>
          <w:tcPr>
            <w:tcW w:w="1276" w:type="dxa"/>
            <w:vAlign w:val="center"/>
          </w:tcPr>
          <w:p w:rsidR="004864CA" w:rsidRPr="00271989" w:rsidRDefault="004864CA" w:rsidP="004864CA">
            <w:pPr>
              <w:pStyle w:val="NormlWeb"/>
              <w:spacing w:line="276" w:lineRule="auto"/>
              <w:jc w:val="center"/>
            </w:pPr>
            <w:r w:rsidRPr="00271989">
              <w:rPr>
                <w:kern w:val="24"/>
              </w:rPr>
              <w:t>350</w:t>
            </w:r>
          </w:p>
        </w:tc>
        <w:tc>
          <w:tcPr>
            <w:tcW w:w="1417" w:type="dxa"/>
            <w:vAlign w:val="center"/>
          </w:tcPr>
          <w:p w:rsidR="004864CA" w:rsidRPr="00271989" w:rsidRDefault="004864CA" w:rsidP="003E2390">
            <w:pPr>
              <w:pStyle w:val="NormlWeb"/>
              <w:spacing w:line="276" w:lineRule="auto"/>
              <w:jc w:val="center"/>
            </w:pPr>
            <w:r w:rsidRPr="00271989">
              <w:t>440</w:t>
            </w:r>
          </w:p>
        </w:tc>
        <w:tc>
          <w:tcPr>
            <w:tcW w:w="1701" w:type="dxa"/>
            <w:vAlign w:val="center"/>
          </w:tcPr>
          <w:p w:rsidR="004864CA" w:rsidRPr="00271989" w:rsidRDefault="004864CA" w:rsidP="004864CA">
            <w:pPr>
              <w:jc w:val="center"/>
              <w:rPr>
                <w:kern w:val="24"/>
              </w:rPr>
            </w:pPr>
            <w:r w:rsidRPr="00271989">
              <w:rPr>
                <w:kern w:val="24"/>
              </w:rPr>
              <w:t>-</w:t>
            </w:r>
          </w:p>
        </w:tc>
        <w:tc>
          <w:tcPr>
            <w:tcW w:w="1368" w:type="dxa"/>
            <w:vAlign w:val="center"/>
          </w:tcPr>
          <w:p w:rsidR="004864CA" w:rsidRPr="00271989" w:rsidRDefault="004864CA" w:rsidP="004864CA">
            <w:pPr>
              <w:jc w:val="center"/>
            </w:pPr>
            <w:r w:rsidRPr="00271989">
              <w:t>-</w:t>
            </w:r>
          </w:p>
        </w:tc>
      </w:tr>
      <w:tr w:rsidR="004864CA" w:rsidRPr="00271989" w:rsidTr="00271989">
        <w:trPr>
          <w:jc w:val="center"/>
        </w:trPr>
        <w:tc>
          <w:tcPr>
            <w:tcW w:w="2787" w:type="dxa"/>
            <w:vAlign w:val="center"/>
          </w:tcPr>
          <w:p w:rsidR="004864CA" w:rsidRPr="00271989" w:rsidRDefault="004864CA" w:rsidP="006E0AD4">
            <w:pPr>
              <w:jc w:val="both"/>
              <w:rPr>
                <w:sz w:val="20"/>
                <w:szCs w:val="20"/>
              </w:rPr>
            </w:pPr>
            <w:r w:rsidRPr="00271989">
              <w:rPr>
                <w:b/>
                <w:bCs/>
                <w:kern w:val="24"/>
                <w:sz w:val="20"/>
                <w:szCs w:val="20"/>
              </w:rPr>
              <w:t>Index: Összes bevont személy / tervezett bevonási létszám (%)</w:t>
            </w:r>
          </w:p>
        </w:tc>
        <w:tc>
          <w:tcPr>
            <w:tcW w:w="1276" w:type="dxa"/>
            <w:vAlign w:val="center"/>
          </w:tcPr>
          <w:p w:rsidR="004864CA" w:rsidRPr="00271989" w:rsidRDefault="004864CA" w:rsidP="004864CA">
            <w:pPr>
              <w:pStyle w:val="NormlWeb"/>
              <w:spacing w:line="276" w:lineRule="auto"/>
              <w:jc w:val="center"/>
            </w:pPr>
            <w:r w:rsidRPr="00271989">
              <w:t>344,8</w:t>
            </w:r>
          </w:p>
        </w:tc>
        <w:tc>
          <w:tcPr>
            <w:tcW w:w="1276" w:type="dxa"/>
            <w:vAlign w:val="center"/>
          </w:tcPr>
          <w:p w:rsidR="004864CA" w:rsidRPr="00271989" w:rsidRDefault="004864CA" w:rsidP="004864CA">
            <w:pPr>
              <w:pStyle w:val="NormlWeb"/>
              <w:spacing w:line="276" w:lineRule="auto"/>
              <w:jc w:val="center"/>
            </w:pPr>
            <w:r w:rsidRPr="00271989">
              <w:t>165,7</w:t>
            </w:r>
          </w:p>
        </w:tc>
        <w:tc>
          <w:tcPr>
            <w:tcW w:w="1417" w:type="dxa"/>
            <w:vAlign w:val="center"/>
          </w:tcPr>
          <w:p w:rsidR="004864CA" w:rsidRPr="00271989" w:rsidRDefault="004864CA" w:rsidP="003E2390">
            <w:pPr>
              <w:pStyle w:val="NormlWeb"/>
              <w:spacing w:line="276" w:lineRule="auto"/>
              <w:jc w:val="center"/>
            </w:pPr>
            <w:r w:rsidRPr="00271989">
              <w:t>107,1</w:t>
            </w:r>
          </w:p>
        </w:tc>
        <w:tc>
          <w:tcPr>
            <w:tcW w:w="1701" w:type="dxa"/>
            <w:vAlign w:val="center"/>
          </w:tcPr>
          <w:p w:rsidR="004864CA" w:rsidRPr="00271989" w:rsidRDefault="004864CA" w:rsidP="004864CA">
            <w:pPr>
              <w:jc w:val="center"/>
            </w:pPr>
            <w:r w:rsidRPr="00271989">
              <w:t>-</w:t>
            </w:r>
          </w:p>
        </w:tc>
        <w:tc>
          <w:tcPr>
            <w:tcW w:w="1368" w:type="dxa"/>
            <w:vAlign w:val="center"/>
          </w:tcPr>
          <w:p w:rsidR="004864CA" w:rsidRPr="00271989" w:rsidRDefault="004864CA" w:rsidP="004864CA">
            <w:pPr>
              <w:jc w:val="center"/>
            </w:pPr>
            <w:r w:rsidRPr="00271989">
              <w:t>-</w:t>
            </w:r>
          </w:p>
        </w:tc>
      </w:tr>
    </w:tbl>
    <w:p w:rsidR="006E0AD4" w:rsidRPr="00271989" w:rsidRDefault="006E0AD4" w:rsidP="006E0AD4">
      <w:pPr>
        <w:spacing w:after="120"/>
        <w:jc w:val="both"/>
      </w:pPr>
    </w:p>
    <w:p w:rsidR="006E0AD4" w:rsidRPr="00271989" w:rsidRDefault="006E0AD4" w:rsidP="00216B07">
      <w:pPr>
        <w:spacing w:after="120"/>
        <w:jc w:val="both"/>
      </w:pPr>
      <w:r w:rsidRPr="00271989">
        <w:t xml:space="preserve">A Zala Megyei Kormányhivatal céljai között 2020. évben is megfogalmazódott a vállalkozások indításának ösztönzése, a kezdő vállalkozások támogatása és a meglévő vállalkozások fejlesztésének ösztönzése. </w:t>
      </w:r>
      <w:r w:rsidRPr="00271989">
        <w:rPr>
          <w:b/>
        </w:rPr>
        <w:t>A vállalkozóvá válást tőkejuttatás nyújtásával elősegítő támogatási formára</w:t>
      </w:r>
      <w:r w:rsidRPr="00271989">
        <w:t xml:space="preserve"> </w:t>
      </w:r>
      <w:r w:rsidRPr="00271989">
        <w:rPr>
          <w:b/>
        </w:rPr>
        <w:t>25 pályázat érkezett, amely a megelőző évinél 36-tal kevesebb.</w:t>
      </w:r>
      <w:r w:rsidRPr="00271989">
        <w:t xml:space="preserve"> Az igényelt támogatás nagysága 50 723 282 Ft volt. Támogatói döntés 23 fő esetében történt, hatósági szerződés mindenkivel megkötésre került 46 387 012 Ft-ra vonatkozóan</w:t>
      </w:r>
      <w:r w:rsidRPr="00271989">
        <w:rPr>
          <w:color w:val="FF0000"/>
        </w:rPr>
        <w:t xml:space="preserve"> </w:t>
      </w:r>
      <w:r w:rsidRPr="00271989">
        <w:t>(2 elutasító döntés született).</w:t>
      </w:r>
      <w:r w:rsidRPr="00271989">
        <w:rPr>
          <w:color w:val="FF0000"/>
        </w:rPr>
        <w:t xml:space="preserve"> </w:t>
      </w:r>
      <w:r w:rsidRPr="00271989">
        <w:t xml:space="preserve">Ezen kívül nagyobb számban az uniós projektekből került sor legfeljebb 6 hónapra a minimálbér összegéig vállalkozóvá válási támogatások </w:t>
      </w:r>
      <w:r w:rsidRPr="00271989">
        <w:lastRenderedPageBreak/>
        <w:t>nyújtására. A támogatások sikeréhez fontos a megfontolt vállalkozói szándék és a biztos vállalkozói ismeretek megléte, ezért az induló vállalkozások alapismereti képzésben részesülhettek.</w:t>
      </w:r>
    </w:p>
    <w:p w:rsidR="002B620A" w:rsidRPr="00271989" w:rsidRDefault="006E0AD4" w:rsidP="00216B07">
      <w:pPr>
        <w:spacing w:after="120"/>
        <w:jc w:val="both"/>
      </w:pPr>
      <w:r w:rsidRPr="00271989">
        <w:t>A munkaerőpiaci szolgáltatások nyújtása a foglalkoztatási szervezet saját erőforrásain és a külső szolgáltatók által nyújtott tevékenységeken alapszik. Nagy jelentőséggel bírnak a Nemzeti Foglalkoztatási Alap Foglalkoztatási Alaprészének decentralizált keretéből megvalósuló támogatott szolgáltatások.</w:t>
      </w:r>
      <w:r w:rsidRPr="00271989">
        <w:rPr>
          <w:color w:val="FF0000"/>
        </w:rPr>
        <w:t xml:space="preserve"> </w:t>
      </w:r>
      <w:r w:rsidRPr="00271989">
        <w:t>2020.01.01-től 2020.05.31-ig kettő, majd 2020.06.01-től 2021.05.31-ig szintén kettő szolgáltatásnyújtó szervezettel került sor a hatósági szerződés megkötésére.</w:t>
      </w:r>
      <w:r w:rsidRPr="00271989">
        <w:rPr>
          <w:color w:val="FF0000"/>
        </w:rPr>
        <w:t xml:space="preserve"> </w:t>
      </w:r>
      <w:r w:rsidRPr="00271989">
        <w:t xml:space="preserve">2020. </w:t>
      </w:r>
      <w:r w:rsidR="00057DAA" w:rsidRPr="00271989">
        <w:t>évben</w:t>
      </w:r>
      <w:r w:rsidRPr="00271989">
        <w:t xml:space="preserve"> munkaerőpiaci és foglalkozási információnyújtásra – beleértve a Foglalkozási Információs Tanácsadó iroda (FIT) tevékenységét is – </w:t>
      </w:r>
      <w:r w:rsidR="00775FCC" w:rsidRPr="00271989">
        <w:t>10 931</w:t>
      </w:r>
      <w:r w:rsidRPr="00271989">
        <w:t xml:space="preserve"> alkalommal, helyi (térségi) foglalkoztatási tanácsadásra pedig </w:t>
      </w:r>
      <w:r w:rsidR="00B63F11" w:rsidRPr="00271989">
        <w:t>5 316</w:t>
      </w:r>
      <w:r w:rsidRPr="00271989">
        <w:t xml:space="preserve"> esetben került sor.</w:t>
      </w:r>
      <w:r w:rsidRPr="00271989">
        <w:rPr>
          <w:color w:val="FF0000"/>
        </w:rPr>
        <w:t xml:space="preserve"> </w:t>
      </w:r>
      <w:r w:rsidR="002B620A" w:rsidRPr="00271989">
        <w:t>A Zala Megyei Kormányhivatal 2020.</w:t>
      </w:r>
      <w:r w:rsidR="00B63F11" w:rsidRPr="00271989">
        <w:t xml:space="preserve"> október 26-án</w:t>
      </w:r>
      <w:r w:rsidR="002B620A" w:rsidRPr="00271989">
        <w:t xml:space="preserve"> nyílt pályázati felhívást tett közzé a munka- és álláskeresési tanácsadás munkaerőpiaci szolgáltatások nyújtásának támogatására, 10 millió Ft pályázható összegben, 2021.01.01-2021.05.31-ig tartó szolgáltatási időszakot érintően. Egy pályázat érkezett, a hatósági szerződés 2020. december 21-én megkötésre került 9 999 305 Ft-ra vonatkozóan. A szolgáltatást nyújtók száma 4 fő. A támogatás teljes időszakában (5 hónap) minimum 500 fő regisztrált álláskereső részére minimum 1200 esetszámban (min. 1200 órában) történik a tanácsadás nyújtása a kormányhivatal járási hivatalainak szolgáltatásra irányított álláskeresői számára.</w:t>
      </w:r>
    </w:p>
    <w:p w:rsidR="006E0AD4" w:rsidRPr="00271989" w:rsidRDefault="006E0AD4" w:rsidP="00216B07">
      <w:pPr>
        <w:spacing w:after="120"/>
        <w:jc w:val="both"/>
        <w:rPr>
          <w:lang w:eastAsia="en-US"/>
        </w:rPr>
      </w:pPr>
      <w:r w:rsidRPr="00271989">
        <w:rPr>
          <w:lang w:eastAsia="en-US"/>
        </w:rPr>
        <w:t>A Zala Megyei Kormányhivatal minden évben nagy hangsúlyt fektet a munkaerőpiac igényeinek minél jobban megfelelő – a hiányszakmákat és a gazdasági szereplők szükségleteit is figyelembe vevő – képzésekkel, a képzettségi szint növelésével elősegíteni az álláskeresők elhelyezkedési esélyeit. A megye gazdasági helyzete, a munkáltatók munkaerőigénye egyre jobban megköveteli a szakképzett munkaerőt. Az álláskeresők képzettség szerinti összetétele szerint 32 % körül mozog az alacsony iskolai végzettségűek aránya, amely nehezíti az elhelyezkedésüket. A képzések indításánál a munkáltatók igényeire támaszkodó és elsősorban szakképzettséget adó, illetve betanító képzések kerültek felajánlásra jellemzően az alacsony iskolai végzettségűekre fókuszálva. A képzési támogatások forrását a GINOP projektek és a TOP foglalkoztatási együttműködési programok jelentik, valamint a munkaviszonyban lévők képzése esetében a Nemzeti Foglalkoztatási Alaprész decentralizált kerete.</w:t>
      </w:r>
      <w:r w:rsidRPr="00271989">
        <w:rPr>
          <w:color w:val="FF0000"/>
          <w:lang w:eastAsia="en-US"/>
        </w:rPr>
        <w:t xml:space="preserve"> </w:t>
      </w:r>
      <w:r w:rsidRPr="00271989">
        <w:rPr>
          <w:lang w:eastAsia="en-US"/>
        </w:rPr>
        <w:t xml:space="preserve">2020. </w:t>
      </w:r>
      <w:r w:rsidR="006B0225" w:rsidRPr="00271989">
        <w:rPr>
          <w:lang w:eastAsia="en-US"/>
        </w:rPr>
        <w:t>évben</w:t>
      </w:r>
      <w:r w:rsidRPr="00271989">
        <w:rPr>
          <w:lang w:eastAsia="en-US"/>
        </w:rPr>
        <w:t xml:space="preserve"> </w:t>
      </w:r>
      <w:r w:rsidRPr="00271989">
        <w:rPr>
          <w:b/>
          <w:lang w:eastAsia="en-US"/>
        </w:rPr>
        <w:t>1</w:t>
      </w:r>
      <w:r w:rsidR="006B0225" w:rsidRPr="00271989">
        <w:rPr>
          <w:b/>
          <w:lang w:eastAsia="en-US"/>
        </w:rPr>
        <w:t>74</w:t>
      </w:r>
      <w:r w:rsidR="003E2390" w:rsidRPr="00271989">
        <w:rPr>
          <w:b/>
          <w:lang w:eastAsia="en-US"/>
        </w:rPr>
        <w:t xml:space="preserve"> </w:t>
      </w:r>
      <w:r w:rsidRPr="00271989">
        <w:rPr>
          <w:b/>
          <w:lang w:eastAsia="en-US"/>
        </w:rPr>
        <w:t>fő kapcsolódott be különböző munkaerőpiaci képzésekbe</w:t>
      </w:r>
      <w:r w:rsidRPr="00271989">
        <w:rPr>
          <w:lang w:eastAsia="en-US"/>
        </w:rPr>
        <w:t>, tavasszal a tanfolyamok a vírushelyzet miatt felfüggesztésre kerültek.</w:t>
      </w:r>
    </w:p>
    <w:p w:rsidR="006E0AD4" w:rsidRPr="00271989" w:rsidRDefault="006E0AD4" w:rsidP="00216B07">
      <w:pPr>
        <w:spacing w:after="120"/>
        <w:jc w:val="both"/>
      </w:pPr>
      <w:r w:rsidRPr="00271989">
        <w:t xml:space="preserve">A fiatalkori inaktivitás csökkentésére, a korai munkatapasztalat és a munkajövedelem szerzés elősegítésére, a Pénzügyminisztérium 2020. évben ismételten elindította </w:t>
      </w:r>
      <w:r w:rsidRPr="00271989">
        <w:rPr>
          <w:b/>
        </w:rPr>
        <w:t>a „Nyári diákmunka 2020.” központi munkaerőpiaci program</w:t>
      </w:r>
      <w:r w:rsidRPr="00271989">
        <w:t>ot.</w:t>
      </w:r>
      <w:r w:rsidRPr="00271989">
        <w:rPr>
          <w:color w:val="FF0000"/>
        </w:rPr>
        <w:t xml:space="preserve"> </w:t>
      </w:r>
      <w:r w:rsidRPr="00271989">
        <w:t>A program – prevenciós jelleggel – már diákkorban elő kívánta segíteni a fiatalok munkához jutását és ezzel a korai munkatapasztalat mellett a jövedelemszerzés lehetőségét is biztosította.</w:t>
      </w:r>
      <w:r w:rsidRPr="00271989">
        <w:rPr>
          <w:color w:val="FF0000"/>
        </w:rPr>
        <w:t xml:space="preserve"> </w:t>
      </w:r>
      <w:r w:rsidRPr="00271989">
        <w:t xml:space="preserve">A tényleges foglalkoztatás megkezdését igazoló, a foglalkoztatási szervhez visszaérkezett </w:t>
      </w:r>
      <w:r w:rsidRPr="00271989">
        <w:rPr>
          <w:b/>
        </w:rPr>
        <w:t>munkaszerződések</w:t>
      </w:r>
      <w:r w:rsidRPr="00271989">
        <w:t xml:space="preserve"> </w:t>
      </w:r>
      <w:r w:rsidRPr="00271989">
        <w:rPr>
          <w:b/>
        </w:rPr>
        <w:t>656 főt érintettek</w:t>
      </w:r>
      <w:r w:rsidRPr="00271989">
        <w:t xml:space="preserve"> (84,5 millió Ft összegben), melyből 611 fő támogatása 78,4 millió Ft összegben a központi, 45 fő támogatása 6,1 millió Ft összegben a decentralizált forrásból került finanszírozásra.</w:t>
      </w:r>
    </w:p>
    <w:p w:rsidR="006E0AD4" w:rsidRPr="00271989" w:rsidRDefault="006E0AD4" w:rsidP="00216B07">
      <w:pPr>
        <w:spacing w:after="120"/>
        <w:jc w:val="both"/>
        <w:rPr>
          <w:color w:val="FF0000"/>
          <w:lang w:eastAsia="en-US"/>
        </w:rPr>
      </w:pPr>
      <w:r w:rsidRPr="00271989">
        <w:rPr>
          <w:lang w:eastAsia="en-US"/>
        </w:rPr>
        <w:t xml:space="preserve">A közfoglalkoztatási programokban résztvevők száma 2014. év óta folyamatosan csökken Zala megyében. </w:t>
      </w:r>
      <w:r w:rsidRPr="00271989">
        <w:rPr>
          <w:b/>
          <w:lang w:eastAsia="en-US"/>
        </w:rPr>
        <w:t xml:space="preserve">2020. </w:t>
      </w:r>
      <w:r w:rsidR="003E2390" w:rsidRPr="00271989">
        <w:rPr>
          <w:b/>
          <w:lang w:eastAsia="en-US"/>
        </w:rPr>
        <w:t>évben</w:t>
      </w:r>
      <w:r w:rsidRPr="00271989">
        <w:rPr>
          <w:b/>
          <w:lang w:eastAsia="en-US"/>
        </w:rPr>
        <w:t xml:space="preserve"> a közfoglalkoztatásban résztvevők érintett létszáma összesen </w:t>
      </w:r>
      <w:r w:rsidR="003E2390" w:rsidRPr="00271989">
        <w:rPr>
          <w:b/>
          <w:lang w:eastAsia="en-US"/>
        </w:rPr>
        <w:t>3029</w:t>
      </w:r>
      <w:r w:rsidRPr="00271989">
        <w:rPr>
          <w:b/>
          <w:lang w:eastAsia="en-US"/>
        </w:rPr>
        <w:t xml:space="preserve"> fő volt</w:t>
      </w:r>
      <w:r w:rsidRPr="00271989">
        <w:rPr>
          <w:lang w:eastAsia="en-US"/>
        </w:rPr>
        <w:t xml:space="preserve">, </w:t>
      </w:r>
      <w:r w:rsidR="00965153" w:rsidRPr="00271989">
        <w:t>amely közel 600 fővel, 16%-kal</w:t>
      </w:r>
      <w:r w:rsidRPr="00271989">
        <w:rPr>
          <w:lang w:eastAsia="en-US"/>
        </w:rPr>
        <w:t xml:space="preserve"> kevesebb az előző évhez képest.</w:t>
      </w:r>
      <w:r w:rsidRPr="00271989">
        <w:rPr>
          <w:color w:val="FF0000"/>
          <w:lang w:eastAsia="en-US"/>
        </w:rPr>
        <w:t xml:space="preserve"> </w:t>
      </w:r>
      <w:r w:rsidR="00965153" w:rsidRPr="00271989">
        <w:t xml:space="preserve">A megyei elszámolású közfoglalkoztatási programokban részt vevők hatósági szerződés szerinti létszáma december végén 1 774 főt ért el, amely az egy évvel ezelőtti hasonló adatnál 13%-kal, 272 fővel kevesebb. A megyei programokban foglalkoztatottak 50%-a (879 fő) járási startmunka mintaprogramokban, 43%-a (759 fő) hosszabb időtartamú közfoglalkoztatásban, 7%-a (136 fő) országos közfoglalkoztatási támogatásokban illetve országos hajléktalan </w:t>
      </w:r>
      <w:r w:rsidR="00965153" w:rsidRPr="00271989">
        <w:lastRenderedPageBreak/>
        <w:t xml:space="preserve">mintaprogramban vett részt. </w:t>
      </w:r>
      <w:r w:rsidRPr="00271989">
        <w:rPr>
          <w:lang w:eastAsia="en-US"/>
        </w:rPr>
        <w:t>A járási startmunka mintaprogramok keretében a három kedvezményezett helyzetű járás területén (Lenti, Letenye, Zalaszentgróti járás) és az azokon kívül fekvő hátrányos helyzetű településeken 78 közfoglalkoztató 89 programja valósul</w:t>
      </w:r>
      <w:r w:rsidR="00965153" w:rsidRPr="00271989">
        <w:rPr>
          <w:lang w:eastAsia="en-US"/>
        </w:rPr>
        <w:t>t</w:t>
      </w:r>
      <w:r w:rsidRPr="00271989">
        <w:rPr>
          <w:lang w:eastAsia="en-US"/>
        </w:rPr>
        <w:t xml:space="preserve"> meg három pillérben</w:t>
      </w:r>
      <w:r w:rsidR="00216B07" w:rsidRPr="00271989">
        <w:rPr>
          <w:lang w:eastAsia="en-US"/>
        </w:rPr>
        <w:t>.</w:t>
      </w:r>
      <w:r w:rsidRPr="00271989">
        <w:rPr>
          <w:lang w:eastAsia="en-US"/>
        </w:rPr>
        <w:t xml:space="preserve"> </w:t>
      </w:r>
      <w:r w:rsidR="00216B07" w:rsidRPr="00271989">
        <w:rPr>
          <w:lang w:eastAsia="en-US"/>
        </w:rPr>
        <w:t>A</w:t>
      </w:r>
      <w:r w:rsidRPr="00271989">
        <w:rPr>
          <w:lang w:eastAsia="en-US"/>
        </w:rPr>
        <w:t xml:space="preserve"> legtöbb, 38 db 362 fővel a mezőgazdaság területén, 28 db 278 fővel a helyi sajátosságokra épülő projektágban és 23 db program pedig a szociális jellegű pillérben 239 fővel. </w:t>
      </w:r>
    </w:p>
    <w:p w:rsidR="009E2854" w:rsidRPr="00271989" w:rsidRDefault="006E0AD4" w:rsidP="00216B07">
      <w:pPr>
        <w:spacing w:after="120"/>
        <w:jc w:val="both"/>
        <w:rPr>
          <w:color w:val="FF0000"/>
          <w:lang w:eastAsia="en-US"/>
        </w:rPr>
      </w:pPr>
      <w:r w:rsidRPr="00271989">
        <w:rPr>
          <w:lang w:eastAsia="en-US"/>
        </w:rPr>
        <w:t>Országos közfoglalkoztatásban Zala megyében három közfoglalkoztató ve</w:t>
      </w:r>
      <w:r w:rsidR="00305996" w:rsidRPr="00271989">
        <w:rPr>
          <w:lang w:eastAsia="en-US"/>
        </w:rPr>
        <w:t>tt</w:t>
      </w:r>
      <w:r w:rsidRPr="00271989">
        <w:rPr>
          <w:lang w:eastAsia="en-US"/>
        </w:rPr>
        <w:t xml:space="preserve"> részt, a rendőrség, a katasztrófavédelem és a Zalaerdő Zrt., míg az Vöröskereszt Zala Megyei Szervezete országos hajléktalan mintaprogramok valósít meg. A világjárvány munkaerőpiaci folyamatainak következtében az országos közfoglalkoztatóknak a Belügyminisztérium felhívására lehetőségük nyílt nemcsak márciustól, hanem július hónaptól is új programot indítani. A decentralizált közfoglalkoztatási keret is az év folyamán többször kiegészítésre került annak érdekében, hogy a nyílt munkaerőpiacon elhelyezkedni nem tudó álláskeresőknek legalább a közfoglalkoztatás lehetőségét biztosítani lehessen.</w:t>
      </w:r>
      <w:r w:rsidR="009E2854" w:rsidRPr="00271989">
        <w:rPr>
          <w:lang w:eastAsia="en-US"/>
        </w:rPr>
        <w:t xml:space="preserve"> </w:t>
      </w:r>
      <w:r w:rsidR="009E2854" w:rsidRPr="00271989">
        <w:t>Ezen kívül 11 megyén kívüli országos közfoglalkoztatónál közel 350 zalai álláskereső került foglalkoztatásra, legtöbben a Nyugat-dunántúli Vízügyi Igazgatóságnál.</w:t>
      </w:r>
    </w:p>
    <w:p w:rsidR="00E76EF3" w:rsidRPr="00271989" w:rsidRDefault="006E0AD4" w:rsidP="00216B07">
      <w:pPr>
        <w:pStyle w:val="Default"/>
        <w:spacing w:after="120"/>
        <w:jc w:val="both"/>
      </w:pPr>
      <w:r w:rsidRPr="00271989">
        <w:t>A „Felzárkózó települések” hosszabb távú kormányzati programhoz 2020. évtől Zala megyéből 4 település csatlakozott Zalakomár, Zajk, Oltárc és Kistolmács. A program a Belügyminisztérium és a Magyar Máltai Szeretetszolgálat szakmai irányítása alatt, karitatív, egyházi és civil szervezetek koordinálásával és a településeken működő önkormányzatok, közintézmények, civil szervezetek, gazdasági szereplők bevonásával valósul meg. Mind a 4 település járási startmunka mintaprogramot valósít</w:t>
      </w:r>
      <w:r w:rsidR="00B4568D" w:rsidRPr="00271989">
        <w:t>ott</w:t>
      </w:r>
      <w:r w:rsidRPr="00271989">
        <w:t xml:space="preserve"> meg összesen 85 fővel, illetve hosszabb időtartamú közfoglalkoztatási támogatás </w:t>
      </w:r>
      <w:r w:rsidR="00B4568D" w:rsidRPr="00271989">
        <w:t>is volt</w:t>
      </w:r>
      <w:r w:rsidRPr="00271989">
        <w:t xml:space="preserve"> </w:t>
      </w:r>
      <w:r w:rsidR="003E6611" w:rsidRPr="00271989">
        <w:t xml:space="preserve">több </w:t>
      </w:r>
      <w:r w:rsidRPr="00271989">
        <w:t>településen.</w:t>
      </w:r>
      <w:r w:rsidRPr="00271989">
        <w:rPr>
          <w:color w:val="FF0000"/>
        </w:rPr>
        <w:t xml:space="preserve"> </w:t>
      </w:r>
      <w:r w:rsidR="003E6611" w:rsidRPr="00271989">
        <w:t xml:space="preserve">Zajk Község Önkormányzata pedig 2020. december 1-jétől </w:t>
      </w:r>
      <w:r w:rsidR="00B05FFA" w:rsidRPr="00271989">
        <w:t xml:space="preserve">2021. július 31-ig </w:t>
      </w:r>
      <w:r w:rsidR="003E6611" w:rsidRPr="00271989">
        <w:t xml:space="preserve">egyéb mintaprogramot indított 6 fő közfoglalkoztatásba vonásával, amelynek célja a mezőgazdasági mintaprogramjának kiegészítéseként zöldségfeldolgozó, előkészítő helység kialakítása, kapacitásbővítése volt, de szerepelt még a programban árok-, járda-, közterület felújítás, erdőgazdálkodási, fafeldolgozási feladatok ellátása. </w:t>
      </w:r>
    </w:p>
    <w:p w:rsidR="003E6611" w:rsidRPr="00271989" w:rsidRDefault="003E6611" w:rsidP="00216B07">
      <w:pPr>
        <w:pStyle w:val="Default"/>
        <w:spacing w:after="120"/>
        <w:jc w:val="both"/>
        <w:rPr>
          <w:rFonts w:eastAsia="Times New Roman"/>
          <w:lang w:eastAsia="hu-HU"/>
        </w:rPr>
      </w:pPr>
      <w:r w:rsidRPr="00271989">
        <w:t>2020. évben a közfoglalkoztatás területén végzett kiemelkedő szakmai munkájáért Resznek Község Önkormányzata részesült elismerésben a „Start Plusz 2020” díjazás keretében, amely lehetővé tette számára, hogy 10 116 715 Ft összegű támogatásból egyéb mintaprogramot valósítson meg.</w:t>
      </w:r>
    </w:p>
    <w:p w:rsidR="006E0AD4" w:rsidRPr="00271989" w:rsidRDefault="006E0AD4" w:rsidP="00216B07">
      <w:pPr>
        <w:spacing w:after="120"/>
        <w:jc w:val="both"/>
      </w:pPr>
      <w:r w:rsidRPr="00271989">
        <w:t xml:space="preserve">A közfoglalkoztatottak elsődleges munkaerőpiacon történő elhelyezkedését segíti egyrészt a „Közfoglalkoztatásból a versenyszférába” központi munkaerőpiaci program keretében nyújtott </w:t>
      </w:r>
      <w:r w:rsidRPr="00271989">
        <w:rPr>
          <w:b/>
        </w:rPr>
        <w:t>elhelyezkedési juttatás támogatása</w:t>
      </w:r>
      <w:r w:rsidRPr="00271989">
        <w:t>,</w:t>
      </w:r>
      <w:r w:rsidRPr="00271989">
        <w:rPr>
          <w:color w:val="FF0000"/>
        </w:rPr>
        <w:t xml:space="preserve"> </w:t>
      </w:r>
      <w:r w:rsidR="003E2390" w:rsidRPr="00271989">
        <w:t>amelyben 28</w:t>
      </w:r>
      <w:r w:rsidRPr="00271989">
        <w:t xml:space="preserve"> fő részesült a 2020. évben.</w:t>
      </w:r>
      <w:r w:rsidRPr="00271989">
        <w:rPr>
          <w:color w:val="FF0000"/>
        </w:rPr>
        <w:t xml:space="preserve"> </w:t>
      </w:r>
      <w:r w:rsidRPr="00271989">
        <w:t xml:space="preserve">Másrészt e program 3. pillérében foglalkoztatott </w:t>
      </w:r>
      <w:r w:rsidRPr="00271989">
        <w:rPr>
          <w:b/>
        </w:rPr>
        <w:t>munkaerőpiaci tanácsadók</w:t>
      </w:r>
      <w:r w:rsidRPr="00271989">
        <w:t xml:space="preserve"> feladata is az, hogy munkaerőpiaci szolgáltatásokkal segítsék az elsődleges munkaerőpiacra történő kilépést.</w:t>
      </w:r>
      <w:r w:rsidRPr="00271989">
        <w:rPr>
          <w:color w:val="FF0000"/>
        </w:rPr>
        <w:t xml:space="preserve"> </w:t>
      </w:r>
      <w:r w:rsidR="003E2390" w:rsidRPr="00271989">
        <w:t>2020. évben</w:t>
      </w:r>
      <w:r w:rsidRPr="00271989">
        <w:rPr>
          <w:color w:val="FF0000"/>
        </w:rPr>
        <w:t xml:space="preserve"> </w:t>
      </w:r>
      <w:r w:rsidR="003E2390" w:rsidRPr="00271989">
        <w:t>24</w:t>
      </w:r>
      <w:r w:rsidRPr="00271989">
        <w:t xml:space="preserve"> csoportos tájékoztatót tartottak 1</w:t>
      </w:r>
      <w:r w:rsidR="003E2390" w:rsidRPr="00271989">
        <w:t>53</w:t>
      </w:r>
      <w:r w:rsidRPr="00271989">
        <w:t xml:space="preserve"> fő részvételével, valamint </w:t>
      </w:r>
      <w:r w:rsidR="003E2390" w:rsidRPr="00271989">
        <w:t>410</w:t>
      </w:r>
      <w:r w:rsidRPr="00271989">
        <w:t xml:space="preserve"> fő számára egyéni tanácsadás keretében nyújtottak szolgáltatást, ami több ügyfélnél többszöri tanácsadási alkalmat jelentett. Munkájuk eredményeképpen </w:t>
      </w:r>
      <w:r w:rsidR="003E2390" w:rsidRPr="00271989">
        <w:t>67</w:t>
      </w:r>
      <w:r w:rsidRPr="00271989">
        <w:t xml:space="preserve"> főt sikerült a közfoglalkoztatásból az elsődleges munkaerőpiacra elhelyezni. </w:t>
      </w:r>
    </w:p>
    <w:p w:rsidR="00E83843" w:rsidRPr="00271989" w:rsidRDefault="00E83843" w:rsidP="00216B07">
      <w:pPr>
        <w:spacing w:after="120"/>
        <w:jc w:val="both"/>
      </w:pPr>
      <w:r w:rsidRPr="00271989">
        <w:t xml:space="preserve">2020. évben 9 munkáltató jelentette be </w:t>
      </w:r>
      <w:r w:rsidRPr="00271989">
        <w:rPr>
          <w:b/>
        </w:rPr>
        <w:t>csoportos létszámleépítés</w:t>
      </w:r>
      <w:r w:rsidRPr="00271989">
        <w:t xml:space="preserve">re </w:t>
      </w:r>
      <w:r w:rsidRPr="00271989">
        <w:rPr>
          <w:b/>
        </w:rPr>
        <w:t>vonatkozó szándék</w:t>
      </w:r>
      <w:r w:rsidRPr="00271989">
        <w:t xml:space="preserve">át összesen 604 fő vonatkozásában. A bejelentés okaként szervezeti átalakulást, finanszírozási problémákat, belföldi és külföldi kereslet csökkenését jelölték meg a bejelentők. Csoportos létszámleépítésre vonatkozó döntésbejelentés 9 munkáltató esetében történt 841 főre vonatkozóan a Keszthelyi, a Zalaszentgróti, a Nagykanizsai és a Zalaegerszegi járásokat érintően. </w:t>
      </w:r>
    </w:p>
    <w:p w:rsidR="00E83843" w:rsidRPr="00271989" w:rsidRDefault="00E83843" w:rsidP="00216B07">
      <w:pPr>
        <w:spacing w:after="120"/>
        <w:jc w:val="both"/>
        <w:rPr>
          <w:color w:val="353838"/>
        </w:rPr>
      </w:pPr>
    </w:p>
    <w:p w:rsidR="006E0AD4" w:rsidRPr="00271989" w:rsidRDefault="006E0AD4" w:rsidP="00271989">
      <w:pPr>
        <w:spacing w:before="240" w:after="120"/>
        <w:jc w:val="both"/>
        <w:rPr>
          <w:b/>
          <w:u w:val="single"/>
        </w:rPr>
      </w:pPr>
      <w:r w:rsidRPr="00271989">
        <w:rPr>
          <w:b/>
          <w:u w:val="single"/>
        </w:rPr>
        <w:lastRenderedPageBreak/>
        <w:t>Kitekintés 2021 évre</w:t>
      </w:r>
    </w:p>
    <w:p w:rsidR="00714AC4" w:rsidRPr="00271989" w:rsidRDefault="00714AC4" w:rsidP="00216B07">
      <w:pPr>
        <w:spacing w:after="120"/>
        <w:jc w:val="both"/>
      </w:pPr>
      <w:r w:rsidRPr="00271989">
        <w:t xml:space="preserve">A </w:t>
      </w:r>
      <w:r w:rsidRPr="00271989">
        <w:rPr>
          <w:b/>
        </w:rPr>
        <w:t>negyedéves munkaerő-gazdálkodási felmérés</w:t>
      </w:r>
      <w:r w:rsidRPr="00271989">
        <w:t xml:space="preserve"> során negyedévente egy rövid kérdőívet kap több mint 500 munkáltató. Az összes foglalkoztatott mintegy negyede dolgozik a megkérdezett cégeknél. A kérdőíven elsősorban a létszámukkal illetve ennek rövidtávon várható változásaival kapcsolatos kérdések szerepelnek. Az adatfelvétel fő célja, hogy negyedéves periódusokban, gyors, naprakész információk legyenek a munkáltatók létszám-gazdálkodási tervéről és ezzel is elősegíthető az üres álláshelyek sikeres feltárása, közzététele. A felmérés emellett a munkáltatói kapcsolattartás erősítését is szolgálja.</w:t>
      </w:r>
    </w:p>
    <w:p w:rsidR="00714AC4" w:rsidRPr="00271989" w:rsidRDefault="00714AC4" w:rsidP="00216B07">
      <w:pPr>
        <w:spacing w:after="120"/>
        <w:jc w:val="both"/>
      </w:pPr>
      <w:r w:rsidRPr="00271989">
        <w:t xml:space="preserve">Több éve a munkáltatók negyedéves és éves szinten is létszámnövekedésre számítanak. A legutóbbi (2020. júliusi) megkérdezés alapján a megkérdezett körben éves szinten mintegy 5%-os bővülést várnak. </w:t>
      </w:r>
    </w:p>
    <w:p w:rsidR="00685E1B" w:rsidRPr="00271989" w:rsidRDefault="00685E1B" w:rsidP="00216B07">
      <w:pPr>
        <w:spacing w:after="120"/>
        <w:jc w:val="both"/>
      </w:pPr>
      <w:r w:rsidRPr="00271989">
        <w:t>A kormány gazdaságvédelmi akciótervének fontos részeként</w:t>
      </w:r>
    </w:p>
    <w:p w:rsidR="00685E1B" w:rsidRPr="00271989" w:rsidRDefault="00216B07" w:rsidP="00216B07">
      <w:pPr>
        <w:numPr>
          <w:ilvl w:val="0"/>
          <w:numId w:val="2"/>
        </w:numPr>
        <w:spacing w:after="120"/>
        <w:jc w:val="both"/>
      </w:pPr>
      <w:r w:rsidRPr="00271989">
        <w:t>2021. évben folytatódik</w:t>
      </w:r>
      <w:r w:rsidR="00685E1B" w:rsidRPr="00271989">
        <w:t xml:space="preserve"> a Vállalkozások munkaerő támogatása, amelynek forrását a GINOP-5.1.1 „Út a </w:t>
      </w:r>
      <w:r w:rsidR="00EB7E6B" w:rsidRPr="00271989">
        <w:t>munkaerőpiacra „program</w:t>
      </w:r>
      <w:r w:rsidR="00685E1B" w:rsidRPr="00271989">
        <w:t xml:space="preserve"> illetve a 25 év alattiak esetében a GINOP-5.2.1 „Ifjúsági Garancia” </w:t>
      </w:r>
      <w:r w:rsidR="00EB7E6B" w:rsidRPr="00271989">
        <w:t>program jelentik</w:t>
      </w:r>
      <w:r w:rsidR="00685E1B" w:rsidRPr="00271989">
        <w:t xml:space="preserve">, </w:t>
      </w:r>
    </w:p>
    <w:p w:rsidR="00685E1B" w:rsidRPr="00271989" w:rsidRDefault="009143FB" w:rsidP="00216B07">
      <w:pPr>
        <w:numPr>
          <w:ilvl w:val="0"/>
          <w:numId w:val="2"/>
        </w:numPr>
        <w:spacing w:after="120"/>
        <w:jc w:val="both"/>
      </w:pPr>
      <w:r w:rsidRPr="00271989">
        <w:t xml:space="preserve">többször is </w:t>
      </w:r>
      <w:r w:rsidR="00685E1B" w:rsidRPr="00271989">
        <w:t>meghosszabbításra került az Ágazati bértámogatás program és a kormány lehetővé tette a támogatás előlegként történő kifizetését,</w:t>
      </w:r>
    </w:p>
    <w:p w:rsidR="00E83843" w:rsidRPr="00271989" w:rsidRDefault="00685E1B" w:rsidP="00216B07">
      <w:pPr>
        <w:numPr>
          <w:ilvl w:val="0"/>
          <w:numId w:val="2"/>
        </w:numPr>
        <w:spacing w:after="120"/>
        <w:jc w:val="both"/>
      </w:pPr>
      <w:r w:rsidRPr="00271989">
        <w:t>újraindult a</w:t>
      </w:r>
      <w:r w:rsidRPr="00271989">
        <w:rPr>
          <w:rFonts w:eastAsia="Calibri"/>
        </w:rPr>
        <w:t xml:space="preserve"> kutatási, fejlesztési és innovációs (KFI) szektor magasan képzett munkavállalóinak bértámogatás</w:t>
      </w:r>
      <w:r w:rsidRPr="00271989">
        <w:t>a.</w:t>
      </w:r>
    </w:p>
    <w:p w:rsidR="00755FB7" w:rsidRPr="00271989" w:rsidRDefault="009506FA" w:rsidP="00216B07">
      <w:pPr>
        <w:spacing w:after="120"/>
        <w:jc w:val="both"/>
      </w:pPr>
      <w:r w:rsidRPr="00271989">
        <w:t>Február második felében megszülettek a 2021. évi belügyminiszteri döntések lehetővé teszik a közfoglalkoztatási programok március 1-jei újraindulását.</w:t>
      </w:r>
      <w:r w:rsidR="00A12C7C" w:rsidRPr="00271989">
        <w:t xml:space="preserve"> Ezzel biztosítható a közfoglalkoztatásban megjelenő f</w:t>
      </w:r>
      <w:r w:rsidR="009E2854" w:rsidRPr="00271989">
        <w:t>eladatok folyamatos ellátása, továbbá azon álláskereső személyek foglalkoztatása, akik a nyílt munkaerőpiacon nem tudnak elhelyezkedni.</w:t>
      </w:r>
    </w:p>
    <w:p w:rsidR="00755FB7" w:rsidRPr="00271989" w:rsidRDefault="00755FB7" w:rsidP="00216B07">
      <w:pPr>
        <w:numPr>
          <w:ilvl w:val="0"/>
          <w:numId w:val="3"/>
        </w:numPr>
        <w:spacing w:after="120"/>
        <w:jc w:val="both"/>
      </w:pPr>
      <w:r w:rsidRPr="00271989">
        <w:t xml:space="preserve">A járási startmunka mintaprogramok </w:t>
      </w:r>
      <w:r w:rsidR="00F93123" w:rsidRPr="00271989">
        <w:t xml:space="preserve">keretében </w:t>
      </w:r>
      <w:r w:rsidRPr="00271989">
        <w:t>2021. évben összesen 79 közfoglalkoztató 91 programja került támogatásra közel 1,5 milliárd Ft nagyságrendben, 914 fős érintett létszámmal. A programot megvalósító települések száma a megelőző évinél eggyel több, a programok száma kettővel, az érintett létszám 35 fővel, a megítélt támogatás nagysága 8,7%-kal nőtt, amelyben a közfoglalkoztatási bérek emelkedése is szerepet játszott.</w:t>
      </w:r>
    </w:p>
    <w:p w:rsidR="00755FB7" w:rsidRPr="00271989" w:rsidRDefault="00F93123" w:rsidP="00216B07">
      <w:pPr>
        <w:numPr>
          <w:ilvl w:val="0"/>
          <w:numId w:val="3"/>
        </w:numPr>
        <w:spacing w:after="120"/>
        <w:jc w:val="both"/>
      </w:pPr>
      <w:r w:rsidRPr="00271989">
        <w:t>Zala megyei finanszírozással az idén is három országos közfoglalkoztató valósíthatja meg programját 86 fős átlaglétszámmal és 109,1 millió Ft támogatási nagyságrendben</w:t>
      </w:r>
      <w:r w:rsidR="00FF149A" w:rsidRPr="00271989">
        <w:t xml:space="preserve"> a tavalyi évinél kisebb nagyságrendben</w:t>
      </w:r>
      <w:r w:rsidRPr="00271989">
        <w:t xml:space="preserve">. Tovább folytatódhat a Vöröskereszt Zala Megyei Szervezetének országos mintaprogramja is 20 fővel és 27,2 millió Ft-os támogatási kerettel. A pénzügyileg megyén kívüli finanszírozású országos programok várhatóan a tavalyi </w:t>
      </w:r>
      <w:r w:rsidR="000A1D60" w:rsidRPr="00271989">
        <w:t>mértékben</w:t>
      </w:r>
      <w:r w:rsidRPr="00271989">
        <w:t xml:space="preserve"> érintik majd a megyénket.</w:t>
      </w:r>
    </w:p>
    <w:p w:rsidR="00FF149A" w:rsidRPr="00271989" w:rsidRDefault="00FF149A" w:rsidP="00216B07">
      <w:pPr>
        <w:numPr>
          <w:ilvl w:val="0"/>
          <w:numId w:val="3"/>
        </w:numPr>
        <w:spacing w:after="120"/>
        <w:jc w:val="both"/>
      </w:pPr>
      <w:r w:rsidRPr="00271989">
        <w:t xml:space="preserve">A hosszabb időtartamú közfoglalkoztatási programok megvalósítására a Belügyminisztérium 554,6 millió Ft 2021. évi, és 110,9 millió Ft 2022. évi forrást </w:t>
      </w:r>
      <w:r w:rsidR="00216B07" w:rsidRPr="00271989">
        <w:t>biztosított</w:t>
      </w:r>
      <w:r w:rsidRPr="00271989">
        <w:t xml:space="preserve">. A decentralizált közfoglalkoztatási keretből minimum 580 fő támogatásba kerülését kell biztosítani. </w:t>
      </w:r>
      <w:r w:rsidR="00066C17" w:rsidRPr="00271989">
        <w:t>A keretek -</w:t>
      </w:r>
      <w:r w:rsidRPr="00271989">
        <w:t xml:space="preserve"> mind létszámában, mind összegszerűségében</w:t>
      </w:r>
      <w:r w:rsidR="00066C17" w:rsidRPr="00271989">
        <w:t xml:space="preserve"> -</w:t>
      </w:r>
      <w:r w:rsidRPr="00271989">
        <w:t xml:space="preserve"> az elmúlt évi hosszabb idejű közfoglalkoztatás adatai körül alakulnak. </w:t>
      </w:r>
      <w:r w:rsidR="00066C17" w:rsidRPr="00271989">
        <w:t>2021. évben a Belügyminisztérium nem alkalmazza a települések közfoglalkoztatásból történő kizárását, valamennyi településen indítható közfoglalkoztatási program.</w:t>
      </w:r>
    </w:p>
    <w:p w:rsidR="00F93123" w:rsidRPr="00271989" w:rsidRDefault="00F93123" w:rsidP="00216B07">
      <w:pPr>
        <w:shd w:val="clear" w:color="auto" w:fill="FFFFFF"/>
        <w:jc w:val="both"/>
        <w:rPr>
          <w:color w:val="000000"/>
        </w:rPr>
      </w:pPr>
      <w:r w:rsidRPr="00271989">
        <w:t xml:space="preserve">Folytatódik a </w:t>
      </w:r>
      <w:r w:rsidRPr="00271989">
        <w:rPr>
          <w:bCs/>
        </w:rPr>
        <w:t xml:space="preserve">GINOP-6.1.1-15 „Alacsony képzettségűek és közfoglalkoztatottak képzése” program, ennek keretében 96 fő bevonása várható az év folyamán a tervek szerint </w:t>
      </w:r>
      <w:r w:rsidRPr="00271989">
        <w:rPr>
          <w:color w:val="000000"/>
        </w:rPr>
        <w:lastRenderedPageBreak/>
        <w:t>Alapkompetencia fejlesztés, Személy és vagyonőr, Zöldterületi kisgép-üzemeltető és Belépés a digitalizált munka világába képzések keretében.</w:t>
      </w:r>
    </w:p>
    <w:p w:rsidR="005B55F0" w:rsidRPr="00271989" w:rsidRDefault="005B55F0" w:rsidP="00216B07">
      <w:pPr>
        <w:shd w:val="clear" w:color="auto" w:fill="FFFFFF"/>
        <w:jc w:val="both"/>
        <w:rPr>
          <w:color w:val="000000"/>
        </w:rPr>
      </w:pPr>
    </w:p>
    <w:p w:rsidR="005B55F0" w:rsidRPr="00271989" w:rsidRDefault="005B55F0" w:rsidP="00216B07">
      <w:pPr>
        <w:jc w:val="both"/>
      </w:pPr>
      <w:r w:rsidRPr="00271989">
        <w:t>A TOP foglalkoztatási megállapodások keretében 2021. évben 41 fő bevonását tervezzük. Év közben forrásemelés várható a programokban, am</w:t>
      </w:r>
      <w:r w:rsidR="00BA1C74">
        <w:t xml:space="preserve">inek függvényében módosul </w:t>
      </w:r>
      <w:r w:rsidRPr="00271989">
        <w:t>a bevonási terv.</w:t>
      </w:r>
    </w:p>
    <w:p w:rsidR="00B05FFA" w:rsidRPr="00271989" w:rsidRDefault="00B05FFA" w:rsidP="00216B07">
      <w:pPr>
        <w:jc w:val="both"/>
      </w:pPr>
    </w:p>
    <w:p w:rsidR="00B05FFA" w:rsidRPr="00271989" w:rsidRDefault="00B05FFA" w:rsidP="00216B07">
      <w:pPr>
        <w:jc w:val="both"/>
        <w:rPr>
          <w:color w:val="FF0000"/>
        </w:rPr>
      </w:pPr>
      <w:r w:rsidRPr="00271989">
        <w:t xml:space="preserve">A Zala Megyei Kormányhivatal számára a 2021. év elején a Nemzeti Foglalkoztatási Alap Foglalkoztatási Alaprészének decentralizált kerete által </w:t>
      </w:r>
      <w:r w:rsidRPr="00271989">
        <w:rPr>
          <w:bCs/>
        </w:rPr>
        <w:t>131 433 484 Ft</w:t>
      </w:r>
      <w:r w:rsidR="00BA1C74">
        <w:t xml:space="preserve"> jelent</w:t>
      </w:r>
      <w:r w:rsidRPr="00271989">
        <w:t>i</w:t>
      </w:r>
      <w:r w:rsidRPr="00271989">
        <w:rPr>
          <w:color w:val="FF0000"/>
        </w:rPr>
        <w:t xml:space="preserve"> </w:t>
      </w:r>
      <w:r w:rsidRPr="00271989">
        <w:t>a mozgásteret az aktív eszközök működtetésénél, amelyből az új támogatások nyújtására 90 000 000</w:t>
      </w:r>
      <w:r w:rsidRPr="00271989">
        <w:rPr>
          <w:bCs/>
        </w:rPr>
        <w:t xml:space="preserve"> </w:t>
      </w:r>
      <w:r w:rsidR="00D20A27" w:rsidRPr="00271989">
        <w:t>Ft áll</w:t>
      </w:r>
      <w:r w:rsidRPr="00271989">
        <w:t xml:space="preserve"> rendelkezésre</w:t>
      </w:r>
      <w:r w:rsidR="00D20A27" w:rsidRPr="00271989">
        <w:t xml:space="preserve"> azon támogatások nyújtására, amelyek uniós forrásból nem nyújthatóak</w:t>
      </w:r>
      <w:r w:rsidRPr="00271989">
        <w:t>. A 2022. évre áthúzódó keretösszeg 45 000 000 Ft.</w:t>
      </w:r>
      <w:r w:rsidRPr="00271989">
        <w:rPr>
          <w:color w:val="FF0000"/>
        </w:rPr>
        <w:t xml:space="preserve"> </w:t>
      </w:r>
    </w:p>
    <w:p w:rsidR="00B05FFA" w:rsidRPr="00271989" w:rsidRDefault="00B05FFA" w:rsidP="005B55F0">
      <w:pPr>
        <w:jc w:val="both"/>
      </w:pPr>
    </w:p>
    <w:p w:rsidR="00BA1C74" w:rsidRPr="00814956" w:rsidRDefault="00BA1C74" w:rsidP="00BA1C74">
      <w:pPr>
        <w:tabs>
          <w:tab w:val="center" w:pos="6804"/>
        </w:tabs>
        <w:jc w:val="both"/>
        <w:rPr>
          <w:b/>
          <w:bCs/>
        </w:rPr>
      </w:pPr>
      <w:r>
        <w:t>A</w:t>
      </w:r>
      <w:r w:rsidRPr="00522274">
        <w:t xml:space="preserve"> veszély</w:t>
      </w:r>
      <w:r>
        <w:t>helyzet kihirdetéséről szóló 27/2021.(I.29</w:t>
      </w:r>
      <w:r w:rsidRPr="00522274">
        <w:t>.) Korm. rendelet, valamint a katasztrófavédelemről és a hozzá kapcsolódó egyes törvények módosításáról szóló 2011. évi CXXVIII. törvény 46.§ (4) bekezdése alapján a közgyűlés feladat-és hatáskörében eljárva</w:t>
      </w:r>
      <w:r>
        <w:t xml:space="preserve"> a közgyűlés elnöke fogadja el a határozati javaslatot.</w:t>
      </w:r>
    </w:p>
    <w:p w:rsidR="00271989" w:rsidRDefault="00271989" w:rsidP="00F93123">
      <w:pPr>
        <w:shd w:val="clear" w:color="auto" w:fill="FFFFFF"/>
        <w:jc w:val="both"/>
        <w:rPr>
          <w:color w:val="000000"/>
        </w:rPr>
      </w:pPr>
    </w:p>
    <w:p w:rsidR="00C5273C" w:rsidRPr="00BA1C74" w:rsidRDefault="00C5273C" w:rsidP="00BA1C74">
      <w:pPr>
        <w:tabs>
          <w:tab w:val="center" w:pos="6804"/>
        </w:tabs>
        <w:ind w:right="567"/>
      </w:pPr>
    </w:p>
    <w:p w:rsidR="00C5273C" w:rsidRPr="00BA1C74" w:rsidRDefault="00976BD4" w:rsidP="00976BD4">
      <w:pPr>
        <w:tabs>
          <w:tab w:val="center" w:pos="6804"/>
        </w:tabs>
        <w:ind w:left="567" w:right="567"/>
        <w:jc w:val="center"/>
        <w:rPr>
          <w:b/>
        </w:rPr>
      </w:pPr>
      <w:r w:rsidRPr="00BA1C74">
        <w:rPr>
          <w:b/>
        </w:rPr>
        <w:t>Határozati javaslat</w:t>
      </w:r>
    </w:p>
    <w:p w:rsidR="00976BD4" w:rsidRPr="00BA1C74" w:rsidRDefault="00976BD4" w:rsidP="00976BD4">
      <w:pPr>
        <w:tabs>
          <w:tab w:val="center" w:pos="6804"/>
        </w:tabs>
        <w:ind w:right="567"/>
        <w:jc w:val="both"/>
      </w:pPr>
    </w:p>
    <w:p w:rsidR="009C5751" w:rsidRPr="00BA1C74" w:rsidRDefault="001D173C" w:rsidP="001D173C">
      <w:pPr>
        <w:jc w:val="both"/>
        <w:rPr>
          <w:bCs/>
        </w:rPr>
      </w:pPr>
      <w:r w:rsidRPr="00BA1C74">
        <w:t xml:space="preserve">A Zala Megyei Közgyűlés elnöke a veszélyhelyzet kihirdetéséről szóló 27/2021. (I.29.) Korm. rendelet, valamint a katasztrófavédelemről és a hozzá kapcsolódó egyes törvények módosításáról szóló 2011. évi CXXVIII. törvény 46.§ (4) bekezdése alapján a közgyűlés feladat-és hatáskörében eljárva </w:t>
      </w:r>
      <w:r w:rsidR="00902467" w:rsidRPr="00BA1C74">
        <w:t xml:space="preserve">Zala megye foglalkoztatási helyzetéről </w:t>
      </w:r>
      <w:r w:rsidR="009C5751" w:rsidRPr="00BA1C74">
        <w:rPr>
          <w:bCs/>
        </w:rPr>
        <w:t>szóló tájékoztatót</w:t>
      </w:r>
      <w:r w:rsidRPr="00BA1C74">
        <w:rPr>
          <w:bCs/>
        </w:rPr>
        <w:t xml:space="preserve"> elfogadja</w:t>
      </w:r>
      <w:r w:rsidR="009C5751" w:rsidRPr="00BA1C74">
        <w:rPr>
          <w:bCs/>
        </w:rPr>
        <w:t>.</w:t>
      </w:r>
    </w:p>
    <w:p w:rsidR="009C5751" w:rsidRPr="00BA1C74" w:rsidRDefault="009C5751" w:rsidP="009C5751">
      <w:pPr>
        <w:tabs>
          <w:tab w:val="center" w:pos="6840"/>
        </w:tabs>
        <w:overflowPunct w:val="0"/>
        <w:autoSpaceDE w:val="0"/>
        <w:autoSpaceDN w:val="0"/>
        <w:adjustRightInd w:val="0"/>
        <w:ind w:right="22"/>
        <w:jc w:val="both"/>
        <w:textAlignment w:val="baseline"/>
        <w:rPr>
          <w:bCs/>
        </w:rPr>
      </w:pPr>
    </w:p>
    <w:p w:rsidR="009C5751" w:rsidRPr="00BA1C74" w:rsidRDefault="009C5751" w:rsidP="009C5751">
      <w:pPr>
        <w:tabs>
          <w:tab w:val="center" w:pos="6840"/>
        </w:tabs>
        <w:overflowPunct w:val="0"/>
        <w:autoSpaceDE w:val="0"/>
        <w:autoSpaceDN w:val="0"/>
        <w:adjustRightInd w:val="0"/>
        <w:ind w:right="22"/>
        <w:jc w:val="both"/>
        <w:textAlignment w:val="baseline"/>
        <w:rPr>
          <w:bCs/>
        </w:rPr>
      </w:pPr>
      <w:r w:rsidRPr="00BA1C74">
        <w:rPr>
          <w:bCs/>
          <w:u w:val="single"/>
        </w:rPr>
        <w:t>Határidő</w:t>
      </w:r>
      <w:r w:rsidRPr="00BA1C74">
        <w:rPr>
          <w:bCs/>
        </w:rPr>
        <w:t>: azonnal</w:t>
      </w:r>
    </w:p>
    <w:p w:rsidR="009C5751" w:rsidRPr="00BA1C74" w:rsidRDefault="009C5751" w:rsidP="009C5751">
      <w:pPr>
        <w:tabs>
          <w:tab w:val="center" w:pos="6840"/>
        </w:tabs>
        <w:overflowPunct w:val="0"/>
        <w:autoSpaceDE w:val="0"/>
        <w:autoSpaceDN w:val="0"/>
        <w:adjustRightInd w:val="0"/>
        <w:ind w:right="22"/>
        <w:jc w:val="both"/>
        <w:textAlignment w:val="baseline"/>
        <w:rPr>
          <w:bCs/>
        </w:rPr>
      </w:pPr>
      <w:r w:rsidRPr="00BA1C74">
        <w:rPr>
          <w:bCs/>
          <w:u w:val="single"/>
        </w:rPr>
        <w:t>Felelős</w:t>
      </w:r>
      <w:r w:rsidRPr="00BA1C74">
        <w:rPr>
          <w:bCs/>
        </w:rPr>
        <w:t>:   Dr. Pál Attila, a közgyűlés elnöke</w:t>
      </w:r>
    </w:p>
    <w:p w:rsidR="00C5273C" w:rsidRPr="00271989" w:rsidRDefault="00C5273C">
      <w:pPr>
        <w:tabs>
          <w:tab w:val="center" w:pos="6804"/>
        </w:tabs>
        <w:ind w:left="567" w:right="567"/>
        <w:rPr>
          <w:color w:val="FF0000"/>
        </w:rPr>
      </w:pPr>
    </w:p>
    <w:p w:rsidR="00C5273C" w:rsidRPr="00271989" w:rsidRDefault="00C5273C">
      <w:pPr>
        <w:tabs>
          <w:tab w:val="center" w:pos="6804"/>
        </w:tabs>
        <w:ind w:left="567" w:right="567"/>
      </w:pPr>
    </w:p>
    <w:p w:rsidR="00C5273C" w:rsidRPr="00271989" w:rsidRDefault="00C5273C">
      <w:pPr>
        <w:tabs>
          <w:tab w:val="center" w:pos="6804"/>
        </w:tabs>
        <w:ind w:left="567" w:right="567"/>
      </w:pPr>
    </w:p>
    <w:p w:rsidR="00C5273C" w:rsidRPr="00271989" w:rsidRDefault="00C5273C">
      <w:pPr>
        <w:tabs>
          <w:tab w:val="center" w:pos="6804"/>
        </w:tabs>
        <w:ind w:left="567" w:right="567"/>
      </w:pPr>
    </w:p>
    <w:sectPr w:rsidR="00C5273C" w:rsidRPr="00271989" w:rsidSect="003D103E">
      <w:footerReference w:type="defaul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A2F" w:rsidRDefault="00C81A2F">
      <w:r>
        <w:separator/>
      </w:r>
    </w:p>
  </w:endnote>
  <w:endnote w:type="continuationSeparator" w:id="0">
    <w:p w:rsidR="00C81A2F" w:rsidRDefault="00C81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1989" w:rsidRDefault="006E1C3E">
    <w:pPr>
      <w:pStyle w:val="llb"/>
      <w:jc w:val="right"/>
    </w:pPr>
    <w:r>
      <w:fldChar w:fldCharType="begin"/>
    </w:r>
    <w:r>
      <w:instrText xml:space="preserve"> PAGE   \* MERGEFORMAT </w:instrText>
    </w:r>
    <w:r>
      <w:fldChar w:fldCharType="separate"/>
    </w:r>
    <w:r w:rsidR="00AA37FB">
      <w:rPr>
        <w:noProof/>
      </w:rPr>
      <w:t>2</w:t>
    </w:r>
    <w:r>
      <w:rPr>
        <w:noProof/>
      </w:rPr>
      <w:fldChar w:fldCharType="end"/>
    </w:r>
  </w:p>
  <w:p w:rsidR="00271989" w:rsidRDefault="00271989">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1989" w:rsidRPr="00F7093E" w:rsidRDefault="00271989" w:rsidP="003D103E">
    <w:pPr>
      <w:pStyle w:val="llb"/>
      <w:jc w:val="center"/>
      <w:rPr>
        <w:b/>
      </w:rPr>
    </w:pPr>
    <w:r>
      <w:rPr>
        <w:b/>
      </w:rPr>
      <w:t>www.zala</w:t>
    </w:r>
    <w:r w:rsidRPr="00F7093E">
      <w:rPr>
        <w:b/>
      </w:rPr>
      <w:t>.hu</w:t>
    </w:r>
  </w:p>
  <w:p w:rsidR="00271989" w:rsidRDefault="00271989">
    <w:pPr>
      <w:pStyle w:val="llb"/>
    </w:pPr>
  </w:p>
  <w:p w:rsidR="00271989" w:rsidRDefault="0027198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A2F" w:rsidRDefault="00C81A2F">
      <w:r>
        <w:separator/>
      </w:r>
    </w:p>
  </w:footnote>
  <w:footnote w:type="continuationSeparator" w:id="0">
    <w:p w:rsidR="00C81A2F" w:rsidRDefault="00C81A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31999"/>
    <w:multiLevelType w:val="hybridMultilevel"/>
    <w:tmpl w:val="FAD8DE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1650C28"/>
    <w:multiLevelType w:val="hybridMultilevel"/>
    <w:tmpl w:val="195C47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6AF75BA"/>
    <w:multiLevelType w:val="hybridMultilevel"/>
    <w:tmpl w:val="4574D9C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90F28"/>
    <w:rsid w:val="00021116"/>
    <w:rsid w:val="00041A48"/>
    <w:rsid w:val="00057DAA"/>
    <w:rsid w:val="00066C17"/>
    <w:rsid w:val="00084A1D"/>
    <w:rsid w:val="000978B7"/>
    <w:rsid w:val="000A1D60"/>
    <w:rsid w:val="000A4ACA"/>
    <w:rsid w:val="000E7A73"/>
    <w:rsid w:val="0013282F"/>
    <w:rsid w:val="001708E0"/>
    <w:rsid w:val="00171C32"/>
    <w:rsid w:val="00175EBD"/>
    <w:rsid w:val="001C1A98"/>
    <w:rsid w:val="001D173C"/>
    <w:rsid w:val="001F7707"/>
    <w:rsid w:val="00201F0C"/>
    <w:rsid w:val="00216B07"/>
    <w:rsid w:val="00217543"/>
    <w:rsid w:val="00271989"/>
    <w:rsid w:val="00276137"/>
    <w:rsid w:val="00295019"/>
    <w:rsid w:val="002A4A46"/>
    <w:rsid w:val="002B41A9"/>
    <w:rsid w:val="002B620A"/>
    <w:rsid w:val="00305996"/>
    <w:rsid w:val="00337441"/>
    <w:rsid w:val="00360764"/>
    <w:rsid w:val="003B7C4C"/>
    <w:rsid w:val="003D103E"/>
    <w:rsid w:val="003D16B3"/>
    <w:rsid w:val="003D586F"/>
    <w:rsid w:val="003E11A4"/>
    <w:rsid w:val="003E2390"/>
    <w:rsid w:val="003E6611"/>
    <w:rsid w:val="0040671E"/>
    <w:rsid w:val="00412E02"/>
    <w:rsid w:val="004131FE"/>
    <w:rsid w:val="00427084"/>
    <w:rsid w:val="004301D3"/>
    <w:rsid w:val="00433E95"/>
    <w:rsid w:val="004418D7"/>
    <w:rsid w:val="004864CA"/>
    <w:rsid w:val="004B6B90"/>
    <w:rsid w:val="004C04FE"/>
    <w:rsid w:val="00505776"/>
    <w:rsid w:val="00537BE4"/>
    <w:rsid w:val="005476AA"/>
    <w:rsid w:val="00584110"/>
    <w:rsid w:val="00590F28"/>
    <w:rsid w:val="0059471D"/>
    <w:rsid w:val="005B55F0"/>
    <w:rsid w:val="005E26CB"/>
    <w:rsid w:val="005E2BEB"/>
    <w:rsid w:val="005F0104"/>
    <w:rsid w:val="00606FB2"/>
    <w:rsid w:val="00626470"/>
    <w:rsid w:val="00685E1B"/>
    <w:rsid w:val="006B0225"/>
    <w:rsid w:val="006B4ED2"/>
    <w:rsid w:val="006E0AD4"/>
    <w:rsid w:val="006E1C3E"/>
    <w:rsid w:val="006E44A1"/>
    <w:rsid w:val="00714AC4"/>
    <w:rsid w:val="00717FCD"/>
    <w:rsid w:val="00725520"/>
    <w:rsid w:val="007348FD"/>
    <w:rsid w:val="00743A89"/>
    <w:rsid w:val="0075033A"/>
    <w:rsid w:val="00755FB7"/>
    <w:rsid w:val="00775FCC"/>
    <w:rsid w:val="007914B6"/>
    <w:rsid w:val="007924CF"/>
    <w:rsid w:val="007F41E1"/>
    <w:rsid w:val="007F4816"/>
    <w:rsid w:val="008124FF"/>
    <w:rsid w:val="00813C0E"/>
    <w:rsid w:val="008A3F7C"/>
    <w:rsid w:val="008D0C07"/>
    <w:rsid w:val="008E7A75"/>
    <w:rsid w:val="009017B0"/>
    <w:rsid w:val="00902467"/>
    <w:rsid w:val="009143FB"/>
    <w:rsid w:val="009506FA"/>
    <w:rsid w:val="00965153"/>
    <w:rsid w:val="00976BD4"/>
    <w:rsid w:val="009B1FDD"/>
    <w:rsid w:val="009C5751"/>
    <w:rsid w:val="009D7487"/>
    <w:rsid w:val="009E2854"/>
    <w:rsid w:val="009E789B"/>
    <w:rsid w:val="00A12C7C"/>
    <w:rsid w:val="00A32ED4"/>
    <w:rsid w:val="00A43846"/>
    <w:rsid w:val="00AA2BC5"/>
    <w:rsid w:val="00AA37FB"/>
    <w:rsid w:val="00AA6370"/>
    <w:rsid w:val="00AB60D9"/>
    <w:rsid w:val="00AE2C27"/>
    <w:rsid w:val="00AE5F55"/>
    <w:rsid w:val="00B004AC"/>
    <w:rsid w:val="00B01CC6"/>
    <w:rsid w:val="00B05FFA"/>
    <w:rsid w:val="00B4568D"/>
    <w:rsid w:val="00B6148C"/>
    <w:rsid w:val="00B63F11"/>
    <w:rsid w:val="00B83B4F"/>
    <w:rsid w:val="00BA1C74"/>
    <w:rsid w:val="00BF0DCE"/>
    <w:rsid w:val="00BF1981"/>
    <w:rsid w:val="00BF3DE9"/>
    <w:rsid w:val="00C5273C"/>
    <w:rsid w:val="00C81A2F"/>
    <w:rsid w:val="00CA5BB9"/>
    <w:rsid w:val="00CC2532"/>
    <w:rsid w:val="00CC3495"/>
    <w:rsid w:val="00CF473D"/>
    <w:rsid w:val="00D009D8"/>
    <w:rsid w:val="00D11FE2"/>
    <w:rsid w:val="00D20A27"/>
    <w:rsid w:val="00D65FB5"/>
    <w:rsid w:val="00D67AF6"/>
    <w:rsid w:val="00DF7492"/>
    <w:rsid w:val="00E055FE"/>
    <w:rsid w:val="00E134AD"/>
    <w:rsid w:val="00E55B67"/>
    <w:rsid w:val="00E746B6"/>
    <w:rsid w:val="00E75DFB"/>
    <w:rsid w:val="00E76EF3"/>
    <w:rsid w:val="00E83843"/>
    <w:rsid w:val="00EB7E6B"/>
    <w:rsid w:val="00EC1F24"/>
    <w:rsid w:val="00EC4C4D"/>
    <w:rsid w:val="00ED35FE"/>
    <w:rsid w:val="00F0138A"/>
    <w:rsid w:val="00F52C8D"/>
    <w:rsid w:val="00F75F98"/>
    <w:rsid w:val="00F87F9A"/>
    <w:rsid w:val="00F93123"/>
    <w:rsid w:val="00FA3FB7"/>
    <w:rsid w:val="00FC7917"/>
    <w:rsid w:val="00FF149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C842C8"/>
  <w15:docId w15:val="{9675967C-745D-459A-941F-9648D1CCC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pPr>
      <w:tabs>
        <w:tab w:val="center" w:pos="4536"/>
        <w:tab w:val="right" w:pos="9072"/>
      </w:tabs>
    </w:pPr>
  </w:style>
  <w:style w:type="paragraph" w:styleId="llb">
    <w:name w:val="footer"/>
    <w:basedOn w:val="Norml"/>
    <w:link w:val="llbChar"/>
    <w:uiPriority w:val="99"/>
    <w:pPr>
      <w:tabs>
        <w:tab w:val="center" w:pos="4536"/>
        <w:tab w:val="right" w:pos="9072"/>
      </w:tabs>
    </w:pPr>
  </w:style>
  <w:style w:type="character" w:customStyle="1" w:styleId="lfejChar">
    <w:name w:val="Élőfej Char"/>
    <w:link w:val="lfej"/>
    <w:uiPriority w:val="99"/>
    <w:rsid w:val="00590F28"/>
    <w:rPr>
      <w:sz w:val="24"/>
      <w:szCs w:val="24"/>
    </w:rPr>
  </w:style>
  <w:style w:type="character" w:customStyle="1" w:styleId="llbChar">
    <w:name w:val="Élőláb Char"/>
    <w:link w:val="llb"/>
    <w:uiPriority w:val="99"/>
    <w:rsid w:val="00590F28"/>
    <w:rPr>
      <w:sz w:val="24"/>
      <w:szCs w:val="24"/>
    </w:rPr>
  </w:style>
  <w:style w:type="paragraph" w:styleId="Buborkszveg">
    <w:name w:val="Balloon Text"/>
    <w:basedOn w:val="Norml"/>
    <w:link w:val="BuborkszvegChar"/>
    <w:uiPriority w:val="99"/>
    <w:semiHidden/>
    <w:unhideWhenUsed/>
    <w:rsid w:val="003D103E"/>
    <w:rPr>
      <w:rFonts w:ascii="Tahoma" w:hAnsi="Tahoma"/>
      <w:sz w:val="16"/>
      <w:szCs w:val="16"/>
    </w:rPr>
  </w:style>
  <w:style w:type="character" w:customStyle="1" w:styleId="BuborkszvegChar">
    <w:name w:val="Buborékszöveg Char"/>
    <w:link w:val="Buborkszveg"/>
    <w:uiPriority w:val="99"/>
    <w:semiHidden/>
    <w:rsid w:val="003D103E"/>
    <w:rPr>
      <w:rFonts w:ascii="Tahoma" w:hAnsi="Tahoma" w:cs="Tahoma"/>
      <w:sz w:val="16"/>
      <w:szCs w:val="16"/>
    </w:rPr>
  </w:style>
  <w:style w:type="paragraph" w:styleId="NormlWeb">
    <w:name w:val="Normal (Web)"/>
    <w:basedOn w:val="Norml"/>
    <w:uiPriority w:val="99"/>
    <w:rsid w:val="00D65FB5"/>
    <w:pPr>
      <w:spacing w:before="100" w:beforeAutospacing="1" w:after="100" w:afterAutospacing="1"/>
    </w:pPr>
  </w:style>
  <w:style w:type="paragraph" w:customStyle="1" w:styleId="Default">
    <w:name w:val="Default"/>
    <w:rsid w:val="003E6611"/>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013769">
      <w:bodyDiv w:val="1"/>
      <w:marLeft w:val="30"/>
      <w:marRight w:val="30"/>
      <w:marTop w:val="0"/>
      <w:marBottom w:val="0"/>
      <w:divBdr>
        <w:top w:val="none" w:sz="0" w:space="0" w:color="auto"/>
        <w:left w:val="none" w:sz="0" w:space="0" w:color="auto"/>
        <w:bottom w:val="none" w:sz="0" w:space="0" w:color="auto"/>
        <w:right w:val="none" w:sz="0" w:space="0" w:color="auto"/>
      </w:divBdr>
      <w:divsChild>
        <w:div w:id="706612368">
          <w:marLeft w:val="0"/>
          <w:marRight w:val="0"/>
          <w:marTop w:val="0"/>
          <w:marBottom w:val="0"/>
          <w:divBdr>
            <w:top w:val="none" w:sz="0" w:space="0" w:color="auto"/>
            <w:left w:val="none" w:sz="0" w:space="0" w:color="auto"/>
            <w:bottom w:val="none" w:sz="0" w:space="0" w:color="auto"/>
            <w:right w:val="none" w:sz="0" w:space="0" w:color="auto"/>
          </w:divBdr>
          <w:divsChild>
            <w:div w:id="1682270537">
              <w:marLeft w:val="0"/>
              <w:marRight w:val="0"/>
              <w:marTop w:val="0"/>
              <w:marBottom w:val="0"/>
              <w:divBdr>
                <w:top w:val="none" w:sz="0" w:space="0" w:color="auto"/>
                <w:left w:val="none" w:sz="0" w:space="0" w:color="auto"/>
                <w:bottom w:val="none" w:sz="0" w:space="0" w:color="auto"/>
                <w:right w:val="none" w:sz="0" w:space="0" w:color="auto"/>
              </w:divBdr>
              <w:divsChild>
                <w:div w:id="468518134">
                  <w:marLeft w:val="180"/>
                  <w:marRight w:val="0"/>
                  <w:marTop w:val="0"/>
                  <w:marBottom w:val="0"/>
                  <w:divBdr>
                    <w:top w:val="none" w:sz="0" w:space="0" w:color="auto"/>
                    <w:left w:val="none" w:sz="0" w:space="0" w:color="auto"/>
                    <w:bottom w:val="none" w:sz="0" w:space="0" w:color="auto"/>
                    <w:right w:val="none" w:sz="0" w:space="0" w:color="auto"/>
                  </w:divBdr>
                  <w:divsChild>
                    <w:div w:id="189854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475595">
      <w:bodyDiv w:val="1"/>
      <w:marLeft w:val="0"/>
      <w:marRight w:val="0"/>
      <w:marTop w:val="0"/>
      <w:marBottom w:val="0"/>
      <w:divBdr>
        <w:top w:val="none" w:sz="0" w:space="0" w:color="auto"/>
        <w:left w:val="none" w:sz="0" w:space="0" w:color="auto"/>
        <w:bottom w:val="none" w:sz="0" w:space="0" w:color="auto"/>
        <w:right w:val="none" w:sz="0" w:space="0" w:color="auto"/>
      </w:divBdr>
    </w:div>
    <w:div w:id="1482037892">
      <w:bodyDiv w:val="1"/>
      <w:marLeft w:val="0"/>
      <w:marRight w:val="0"/>
      <w:marTop w:val="0"/>
      <w:marBottom w:val="0"/>
      <w:divBdr>
        <w:top w:val="none" w:sz="0" w:space="0" w:color="auto"/>
        <w:left w:val="none" w:sz="0" w:space="0" w:color="auto"/>
        <w:bottom w:val="none" w:sz="0" w:space="0" w:color="auto"/>
        <w:right w:val="none" w:sz="0" w:space="0" w:color="auto"/>
      </w:divBdr>
    </w:div>
    <w:div w:id="2098944640">
      <w:bodyDiv w:val="1"/>
      <w:marLeft w:val="30"/>
      <w:marRight w:val="30"/>
      <w:marTop w:val="0"/>
      <w:marBottom w:val="0"/>
      <w:divBdr>
        <w:top w:val="none" w:sz="0" w:space="0" w:color="auto"/>
        <w:left w:val="none" w:sz="0" w:space="0" w:color="auto"/>
        <w:bottom w:val="none" w:sz="0" w:space="0" w:color="auto"/>
        <w:right w:val="none" w:sz="0" w:space="0" w:color="auto"/>
      </w:divBdr>
      <w:divsChild>
        <w:div w:id="733510948">
          <w:marLeft w:val="0"/>
          <w:marRight w:val="0"/>
          <w:marTop w:val="0"/>
          <w:marBottom w:val="0"/>
          <w:divBdr>
            <w:top w:val="none" w:sz="0" w:space="0" w:color="auto"/>
            <w:left w:val="none" w:sz="0" w:space="0" w:color="auto"/>
            <w:bottom w:val="none" w:sz="0" w:space="0" w:color="auto"/>
            <w:right w:val="none" w:sz="0" w:space="0" w:color="auto"/>
          </w:divBdr>
          <w:divsChild>
            <w:div w:id="832991094">
              <w:marLeft w:val="0"/>
              <w:marRight w:val="0"/>
              <w:marTop w:val="0"/>
              <w:marBottom w:val="0"/>
              <w:divBdr>
                <w:top w:val="none" w:sz="0" w:space="0" w:color="auto"/>
                <w:left w:val="none" w:sz="0" w:space="0" w:color="auto"/>
                <w:bottom w:val="none" w:sz="0" w:space="0" w:color="auto"/>
                <w:right w:val="none" w:sz="0" w:space="0" w:color="auto"/>
              </w:divBdr>
              <w:divsChild>
                <w:div w:id="1924099398">
                  <w:marLeft w:val="180"/>
                  <w:marRight w:val="0"/>
                  <w:marTop w:val="0"/>
                  <w:marBottom w:val="0"/>
                  <w:divBdr>
                    <w:top w:val="none" w:sz="0" w:space="0" w:color="auto"/>
                    <w:left w:val="none" w:sz="0" w:space="0" w:color="auto"/>
                    <w:bottom w:val="none" w:sz="0" w:space="0" w:color="auto"/>
                    <w:right w:val="none" w:sz="0" w:space="0" w:color="auto"/>
                  </w:divBdr>
                  <w:divsChild>
                    <w:div w:id="156336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731DED-6765-49A2-8718-37129C303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10</Pages>
  <Words>3949</Words>
  <Characters>27250</Characters>
  <Application>Microsoft Office Word</Application>
  <DocSecurity>0</DocSecurity>
  <Lines>227</Lines>
  <Paragraphs>62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Zala Megyei Közgyűlés Hivatala</Company>
  <LinksUpToDate>false</LinksUpToDate>
  <CharactersWithSpaces>31137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Balatoni Péter</dc:creator>
  <cp:lastModifiedBy>Porkoláb Judit</cp:lastModifiedBy>
  <cp:revision>11</cp:revision>
  <cp:lastPrinted>2004-03-18T09:15:00Z</cp:lastPrinted>
  <dcterms:created xsi:type="dcterms:W3CDTF">2021-02-26T11:20:00Z</dcterms:created>
  <dcterms:modified xsi:type="dcterms:W3CDTF">2021-03-08T08:02:00Z</dcterms:modified>
</cp:coreProperties>
</file>